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3B0F" w14:textId="0C14EF41" w:rsidR="00E812CF" w:rsidRPr="009305DE" w:rsidRDefault="00E812CF" w:rsidP="00E812CF">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sidR="005D14C9">
        <w:rPr>
          <w:rFonts w:cs="Arial" w:hint="eastAsia"/>
          <w:bCs/>
          <w:sz w:val="20"/>
          <w:lang w:val="de-DE" w:eastAsia="ja-JP"/>
        </w:rPr>
        <w:t>4</w:t>
      </w:r>
      <w:r w:rsidRPr="009305DE">
        <w:rPr>
          <w:rFonts w:cs="Arial"/>
          <w:bCs/>
          <w:sz w:val="20"/>
          <w:lang w:val="de-DE" w:eastAsia="ja-JP"/>
        </w:rPr>
        <w:tab/>
      </w:r>
      <w:r w:rsidR="005C280A" w:rsidRPr="005C280A">
        <w:rPr>
          <w:rFonts w:cs="Arial"/>
          <w:bCs/>
          <w:sz w:val="20"/>
          <w:lang w:val="de-DE" w:eastAsia="ja-JP"/>
        </w:rPr>
        <w:t>R1-2307406</w:t>
      </w:r>
    </w:p>
    <w:p w14:paraId="08EE7CC1" w14:textId="5545B11D" w:rsidR="00E812CF" w:rsidRPr="0026421B" w:rsidRDefault="005D14C9" w:rsidP="00E812CF">
      <w:pPr>
        <w:pStyle w:val="TdocHeader2"/>
        <w:jc w:val="left"/>
        <w:rPr>
          <w:rFonts w:eastAsia="游明朝"/>
          <w:sz w:val="20"/>
          <w:lang w:val="en-US"/>
        </w:rPr>
      </w:pPr>
      <w:r>
        <w:rPr>
          <w:rFonts w:eastAsia="ＭＳ 明朝" w:cs="Arial"/>
          <w:bCs/>
          <w:sz w:val="20"/>
          <w:lang w:val="en-US" w:eastAsia="ja-JP"/>
        </w:rPr>
        <w:t>Toulouse</w:t>
      </w:r>
      <w:r w:rsidR="00E812CF">
        <w:rPr>
          <w:rFonts w:eastAsia="ＭＳ 明朝" w:cs="Arial"/>
          <w:bCs/>
          <w:sz w:val="20"/>
          <w:lang w:val="en-US" w:eastAsia="ja-JP"/>
        </w:rPr>
        <w:t xml:space="preserve">, </w:t>
      </w:r>
      <w:r>
        <w:rPr>
          <w:rFonts w:eastAsia="ＭＳ 明朝" w:cs="Arial"/>
          <w:bCs/>
          <w:sz w:val="20"/>
          <w:lang w:val="en-US" w:eastAsia="ja-JP"/>
        </w:rPr>
        <w:t>France</w:t>
      </w:r>
      <w:r w:rsidR="001B063B">
        <w:rPr>
          <w:rFonts w:eastAsia="ＭＳ 明朝" w:cs="Arial"/>
          <w:bCs/>
          <w:sz w:val="20"/>
          <w:lang w:val="en-US" w:eastAsia="ja-JP"/>
        </w:rPr>
        <w:t xml:space="preserve">, </w:t>
      </w:r>
      <w:r>
        <w:rPr>
          <w:rFonts w:eastAsia="ＭＳ 明朝" w:cs="Arial"/>
          <w:bCs/>
          <w:sz w:val="20"/>
          <w:lang w:val="en-US" w:eastAsia="ja-JP"/>
        </w:rPr>
        <w:t>August</w:t>
      </w:r>
      <w:r w:rsidR="00E812CF">
        <w:rPr>
          <w:sz w:val="20"/>
          <w:lang w:val="en-US"/>
        </w:rPr>
        <w:t xml:space="preserve"> </w:t>
      </w:r>
      <w:r w:rsidR="001B063B">
        <w:rPr>
          <w:sz w:val="20"/>
          <w:lang w:val="en-US"/>
        </w:rPr>
        <w:t>2</w:t>
      </w:r>
      <w:r>
        <w:rPr>
          <w:sz w:val="20"/>
          <w:lang w:val="en-US"/>
        </w:rPr>
        <w:t>1st</w:t>
      </w:r>
      <w:r w:rsidR="00E812CF" w:rsidRPr="0026421B">
        <w:rPr>
          <w:rFonts w:eastAsia="ＭＳ 明朝" w:cs="Arial"/>
          <w:bCs/>
          <w:sz w:val="20"/>
          <w:lang w:val="en-US" w:eastAsia="ja-JP"/>
        </w:rPr>
        <w:t xml:space="preserve"> – </w:t>
      </w:r>
      <w:r w:rsidR="00E812CF">
        <w:rPr>
          <w:rFonts w:eastAsia="ＭＳ 明朝" w:cs="Arial"/>
          <w:bCs/>
          <w:sz w:val="20"/>
          <w:lang w:val="en-US" w:eastAsia="ja-JP"/>
        </w:rPr>
        <w:t>2</w:t>
      </w:r>
      <w:r>
        <w:rPr>
          <w:rFonts w:eastAsia="ＭＳ 明朝" w:cs="Arial"/>
          <w:bCs/>
          <w:sz w:val="20"/>
          <w:lang w:val="en-US" w:eastAsia="ja-JP"/>
        </w:rPr>
        <w:t>5th</w:t>
      </w:r>
      <w:r w:rsidR="00E812CF" w:rsidRPr="0026421B">
        <w:rPr>
          <w:rFonts w:eastAsia="ＭＳ 明朝" w:cs="Arial"/>
          <w:bCs/>
          <w:sz w:val="20"/>
          <w:lang w:val="en-US" w:eastAsia="ja-JP"/>
        </w:rPr>
        <w:t>, 202</w:t>
      </w:r>
      <w:r w:rsidR="00E812CF">
        <w:rPr>
          <w:rFonts w:eastAsia="ＭＳ 明朝" w:cs="Arial"/>
          <w:bCs/>
          <w:sz w:val="20"/>
          <w:lang w:val="en-US" w:eastAsia="ja-JP"/>
        </w:rPr>
        <w:t>3</w:t>
      </w:r>
    </w:p>
    <w:p w14:paraId="4034A479" w14:textId="77777777" w:rsidR="00E812CF" w:rsidRPr="001B063B"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77777777" w:rsidR="00E812CF" w:rsidRDefault="00E812CF" w:rsidP="00E812CF">
      <w:pPr>
        <w:pStyle w:val="TdocHeader2"/>
        <w:spacing w:after="60"/>
        <w:jc w:val="left"/>
        <w:rPr>
          <w:rFonts w:eastAsia="ＭＳ 明朝"/>
          <w:b w:val="0"/>
          <w:sz w:val="20"/>
          <w:lang w:eastAsia="ja-JP"/>
        </w:rPr>
      </w:pPr>
      <w:r>
        <w:rPr>
          <w:sz w:val="20"/>
        </w:rPr>
        <w:t xml:space="preserve">Title: </w:t>
      </w:r>
      <w:r>
        <w:rPr>
          <w:sz w:val="20"/>
        </w:rPr>
        <w:tab/>
      </w:r>
      <w:r>
        <w:rPr>
          <w:b w:val="0"/>
          <w:sz w:val="20"/>
        </w:rPr>
        <w:t>Discussion on</w:t>
      </w:r>
      <w:r w:rsidRPr="001731FC">
        <w:rPr>
          <w:b w:val="0"/>
          <w:sz w:val="20"/>
        </w:rPr>
        <w:t xml:space="preserve"> </w:t>
      </w:r>
      <w:r>
        <w:rPr>
          <w:b w:val="0"/>
          <w:sz w:val="20"/>
        </w:rPr>
        <w:t>coverage enhancement for NR-NTN</w:t>
      </w:r>
    </w:p>
    <w:p w14:paraId="0565CA4A" w14:textId="34C8D002"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9.9.</w:t>
      </w:r>
      <w:r>
        <w:rPr>
          <w:rFonts w:ascii="Arial" w:eastAsiaTheme="minorEastAsia" w:hAnsi="Arial" w:hint="eastAsia"/>
          <w:lang w:eastAsia="ja-JP"/>
        </w:rPr>
        <w:t>1</w:t>
      </w:r>
      <w:r>
        <w:rPr>
          <w:rFonts w:ascii="Arial" w:eastAsia="SimSun" w:hAnsi="Arial"/>
          <w:lang w:eastAsia="zh-CN"/>
        </w:rPr>
        <w:t xml:space="preserve"> </w:t>
      </w:r>
    </w:p>
    <w:p w14:paraId="2D0E39EC" w14:textId="77777777"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ED582F7" w14:textId="3C1149FB" w:rsidR="009E1263" w:rsidRDefault="009E1263" w:rsidP="009E1263">
      <w:pPr>
        <w:rPr>
          <w:lang w:eastAsia="ja-JP"/>
        </w:rPr>
      </w:pPr>
      <w:r>
        <w:rPr>
          <w:lang w:eastAsia="ja-JP"/>
        </w:rPr>
        <w:t xml:space="preserve">In the WID for NR NTN </w:t>
      </w:r>
      <w:r w:rsidR="007B3A7E">
        <w:rPr>
          <w:lang w:eastAsia="ja-JP"/>
        </w:rPr>
        <w:t xml:space="preserve">enhancement </w:t>
      </w:r>
      <w:r>
        <w:rPr>
          <w:lang w:eastAsia="ja-JP"/>
        </w:rPr>
        <w:t>[1], the following are described</w:t>
      </w:r>
      <w:r w:rsidR="007B3A7E">
        <w:rPr>
          <w:lang w:eastAsia="ja-JP"/>
        </w:rPr>
        <w:t xml:space="preserve"> as the object</w:t>
      </w:r>
      <w:r w:rsidR="00083B56">
        <w:rPr>
          <w:lang w:eastAsia="ja-JP"/>
        </w:rPr>
        <w:t>ives</w:t>
      </w:r>
      <w:r w:rsidR="007B3A7E">
        <w:rPr>
          <w:lang w:eastAsia="ja-JP"/>
        </w:rPr>
        <w:t xml:space="preserve"> on coverage enhancement</w:t>
      </w:r>
      <w:r>
        <w:rPr>
          <w:lang w:eastAsia="ja-JP"/>
        </w:rPr>
        <w:t>.</w:t>
      </w:r>
    </w:p>
    <w:tbl>
      <w:tblPr>
        <w:tblStyle w:val="afb"/>
        <w:tblW w:w="0" w:type="auto"/>
        <w:tblLook w:val="04A0" w:firstRow="1" w:lastRow="0" w:firstColumn="1" w:lastColumn="0" w:noHBand="0" w:noVBand="1"/>
      </w:tblPr>
      <w:tblGrid>
        <w:gridCol w:w="9629"/>
      </w:tblGrid>
      <w:tr w:rsidR="009E1263" w14:paraId="5679F2DB" w14:textId="77777777" w:rsidTr="009E1263">
        <w:tc>
          <w:tcPr>
            <w:tcW w:w="9629" w:type="dxa"/>
          </w:tcPr>
          <w:p w14:paraId="1F669061" w14:textId="77777777" w:rsidR="009E1263" w:rsidRDefault="009E1263" w:rsidP="009E1263">
            <w:pPr>
              <w:rPr>
                <w:lang w:eastAsia="ja-JP"/>
              </w:rPr>
            </w:pPr>
            <w:r>
              <w:rPr>
                <w:lang w:eastAsia="ja-JP"/>
              </w:rPr>
              <w:t xml:space="preserve">The following reference scenario is considered for the definition of uplink coverage enhancements for NTN: parameter set-1 for LEO-1200 satellite operating at Line of Sight (LOS) and commercial smartphones with -5.5 </w:t>
            </w:r>
            <w:proofErr w:type="spellStart"/>
            <w:r>
              <w:rPr>
                <w:lang w:eastAsia="ja-JP"/>
              </w:rPr>
              <w:t>dBi</w:t>
            </w:r>
            <w:proofErr w:type="spellEnd"/>
            <w:r>
              <w:rPr>
                <w:lang w:eastAsia="ja-JP"/>
              </w:rPr>
              <w:t xml:space="preserve"> antenna gain and 3 dB polarisation loss (per antenna port).</w:t>
            </w:r>
          </w:p>
          <w:p w14:paraId="3CBDA464" w14:textId="77777777" w:rsidR="009E1263" w:rsidRDefault="009E1263" w:rsidP="009E1263">
            <w:pPr>
              <w:rPr>
                <w:lang w:eastAsia="ja-JP"/>
              </w:rPr>
            </w:pPr>
            <w:r>
              <w:rPr>
                <w:lang w:eastAsia="ja-JP"/>
              </w:rPr>
              <w:t>Note: It is understood that the enhancements defined for LEO can also apply to GEO and MEO scenarios as appropriate. No additional work is expected for MEO/GEO.</w:t>
            </w:r>
          </w:p>
          <w:p w14:paraId="52587149" w14:textId="77777777" w:rsidR="009E1263" w:rsidRDefault="009E1263" w:rsidP="009E1263">
            <w:pPr>
              <w:rPr>
                <w:lang w:eastAsia="ja-JP"/>
              </w:rPr>
            </w:pPr>
            <w:r>
              <w:rPr>
                <w:lang w:eastAsia="ja-JP"/>
              </w:rPr>
              <w:t>The targeted services are VoIP using AMR 4.75 kbps and data transmission services with Low data rate of 3 kbps.</w:t>
            </w:r>
          </w:p>
          <w:p w14:paraId="25FED902" w14:textId="77777777" w:rsidR="009E1263" w:rsidRDefault="009E1263" w:rsidP="009E1263">
            <w:pPr>
              <w:rPr>
                <w:lang w:eastAsia="ja-JP"/>
              </w:rPr>
            </w:pPr>
            <w:r>
              <w:rPr>
                <w:lang w:eastAsia="ja-JP"/>
              </w:rPr>
              <w:t>The detailed objectives are for NTN:</w:t>
            </w:r>
          </w:p>
          <w:p w14:paraId="3CD7F340" w14:textId="77777777" w:rsidR="009E1263" w:rsidRDefault="009E1263" w:rsidP="009E1263">
            <w:pPr>
              <w:rPr>
                <w:lang w:eastAsia="ja-JP"/>
              </w:rPr>
            </w:pPr>
            <w:r>
              <w:rPr>
                <w:lang w:eastAsia="ja-JP"/>
              </w:rPr>
              <w:t>-</w:t>
            </w:r>
            <w:r>
              <w:rPr>
                <w:lang w:eastAsia="ja-JP"/>
              </w:rPr>
              <w:tab/>
              <w:t>To specify PUCCH enhancements for Msg4 HARQ-ACK (</w:t>
            </w:r>
            <w:proofErr w:type="gramStart"/>
            <w:r>
              <w:rPr>
                <w:lang w:eastAsia="ja-JP"/>
              </w:rPr>
              <w:t>e.g.</w:t>
            </w:r>
            <w:proofErr w:type="gramEnd"/>
            <w:r>
              <w:rPr>
                <w:lang w:eastAsia="ja-JP"/>
              </w:rPr>
              <w:t xml:space="preserve"> repetition) [RAN1, RAN4]</w:t>
            </w:r>
          </w:p>
          <w:p w14:paraId="1B66EC0A" w14:textId="60C29356" w:rsidR="009E1263" w:rsidRPr="009E1263" w:rsidRDefault="009E1263" w:rsidP="009E1263">
            <w:pPr>
              <w:rPr>
                <w:lang w:eastAsia="ja-JP"/>
              </w:rPr>
            </w:pPr>
            <w:r>
              <w:rPr>
                <w:lang w:eastAsia="ja-JP"/>
              </w:rPr>
              <w:t>-</w:t>
            </w:r>
            <w:r>
              <w:rPr>
                <w:lang w:eastAsia="ja-JP"/>
              </w:rPr>
              <w:tab/>
              <w:t xml:space="preserve">To </w:t>
            </w:r>
            <w:proofErr w:type="gramStart"/>
            <w:r>
              <w:rPr>
                <w:lang w:eastAsia="ja-JP"/>
              </w:rPr>
              <w:t>specify</w:t>
            </w:r>
            <w:proofErr w:type="gramEnd"/>
            <w:r>
              <w:rPr>
                <w:lang w:eastAsia="ja-JP"/>
              </w:rPr>
              <w:t xml:space="preserve"> if necessary, enhancements to the Rel-17 procedures for DMRS bundling for PUSCH taking into account NTN-specifics (e.g. time-frequency pre-compensation) [RAN1]</w:t>
            </w:r>
          </w:p>
        </w:tc>
      </w:tr>
    </w:tbl>
    <w:p w14:paraId="6829B09D" w14:textId="72DB06AD" w:rsidR="0038079F" w:rsidRPr="009E1263" w:rsidRDefault="009E1263" w:rsidP="009E1263">
      <w:pPr>
        <w:rPr>
          <w:lang w:eastAsia="ja-JP"/>
        </w:rPr>
      </w:pPr>
      <w:r>
        <w:rPr>
          <w:lang w:eastAsia="ja-JP"/>
        </w:rPr>
        <w:t>In previous RAN1 meetings, PUCCH enhancement and the necessity of enhancement related to DMRS bundling for PUSCH were discussed. In this document, we discuss issues on PUCCH enhancement for Msg.4 HARQ-ACK and PUSCH DMRS bundling for NR-NTN coverage enhancement.</w:t>
      </w:r>
    </w:p>
    <w:p w14:paraId="41D91E37" w14:textId="2F6E3D01" w:rsidR="00E812CF" w:rsidRDefault="006471B2" w:rsidP="006471B2">
      <w:pPr>
        <w:pStyle w:val="1"/>
        <w:ind w:left="632" w:right="200"/>
        <w:rPr>
          <w:lang w:val="en-US" w:eastAsia="ja-JP"/>
        </w:rPr>
      </w:pPr>
      <w:r>
        <w:rPr>
          <w:lang w:eastAsia="ja-JP"/>
        </w:rPr>
        <w:t>PUCCH enhancement for Msg.4 HARQ-ACK</w:t>
      </w:r>
      <w:r>
        <w:rPr>
          <w:lang w:val="en-US" w:eastAsia="ja-JP"/>
        </w:rPr>
        <w:t xml:space="preserve"> </w:t>
      </w:r>
    </w:p>
    <w:p w14:paraId="1BF451B9" w14:textId="3E8D2592" w:rsidR="00075A0E" w:rsidRDefault="00C603A8" w:rsidP="00481D42">
      <w:pPr>
        <w:rPr>
          <w:lang w:val="nl-NL" w:eastAsia="ja-JP"/>
        </w:rPr>
      </w:pPr>
      <w:r>
        <w:rPr>
          <w:lang w:val="nl-NL" w:eastAsia="ja-JP"/>
        </w:rPr>
        <w:t xml:space="preserve">For Msg4 PUCCH repetition, both cell specific and dynamic indication of repetition factor are supported </w:t>
      </w:r>
      <w:r w:rsidR="00A66A1E">
        <w:rPr>
          <w:rFonts w:hint="eastAsia"/>
          <w:lang w:val="nl-NL" w:eastAsia="ja-JP"/>
        </w:rPr>
        <w:t>i</w:t>
      </w:r>
      <w:r w:rsidR="00A66A1E">
        <w:rPr>
          <w:lang w:val="nl-NL" w:eastAsia="ja-JP"/>
        </w:rPr>
        <w:t>n</w:t>
      </w:r>
      <w:r>
        <w:rPr>
          <w:lang w:val="nl-NL" w:eastAsia="ja-JP"/>
        </w:rPr>
        <w:t xml:space="preserve"> the</w:t>
      </w:r>
      <w:r w:rsidR="00A66A1E">
        <w:rPr>
          <w:lang w:val="nl-NL" w:eastAsia="ja-JP"/>
        </w:rPr>
        <w:t xml:space="preserve"> current</w:t>
      </w:r>
      <w:r>
        <w:rPr>
          <w:lang w:val="nl-NL" w:eastAsia="ja-JP"/>
        </w:rPr>
        <w:t xml:space="preserve"> working assumption. If only one repetition factor is configured via SIB, UE capable of </w:t>
      </w:r>
      <w:r w:rsidR="00FA7646">
        <w:rPr>
          <w:lang w:val="nl-NL" w:eastAsia="ja-JP"/>
        </w:rPr>
        <w:t>and</w:t>
      </w:r>
      <w:r w:rsidR="00A81703">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uses </w:t>
      </w:r>
      <w:r w:rsidR="0033471B">
        <w:rPr>
          <w:lang w:val="nl-NL" w:eastAsia="ja-JP"/>
        </w:rPr>
        <w:t>the configured repetition factor</w:t>
      </w:r>
      <w:r>
        <w:rPr>
          <w:lang w:val="nl-NL" w:eastAsia="ja-JP"/>
        </w:rPr>
        <w:t xml:space="preserve"> for Msg4 PUCCH repetition. If multiple repetition factors are configured via SIB, UE capable of </w:t>
      </w:r>
      <w:r w:rsidR="00FA7646">
        <w:rPr>
          <w:lang w:val="nl-NL" w:eastAsia="ja-JP"/>
        </w:rPr>
        <w:t>and</w:t>
      </w:r>
      <w:r w:rsidR="00FC5D27">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w:t>
      </w:r>
      <w:r w:rsidR="00A81703">
        <w:rPr>
          <w:lang w:val="nl-NL" w:eastAsia="ja-JP"/>
        </w:rPr>
        <w:t xml:space="preserve">receives UE specific repetition factor. </w:t>
      </w:r>
      <w:r w:rsidR="00FC5D27">
        <w:rPr>
          <w:lang w:val="nl-NL" w:eastAsia="ja-JP"/>
        </w:rPr>
        <w:t xml:space="preserve">In both cases, gNB needs information on whether the UE is capable of </w:t>
      </w:r>
      <w:r w:rsidR="00A66A1E">
        <w:rPr>
          <w:lang w:val="nl-NL" w:eastAsia="ja-JP"/>
        </w:rPr>
        <w:t xml:space="preserve">and requesting </w:t>
      </w:r>
      <w:r w:rsidR="00FC5D27">
        <w:rPr>
          <w:lang w:val="nl-NL" w:eastAsia="ja-JP"/>
        </w:rPr>
        <w:t>Msg4 PUCCH repetition.</w:t>
      </w:r>
      <w:r w:rsidR="0061337D">
        <w:rPr>
          <w:lang w:val="nl-NL" w:eastAsia="ja-JP"/>
        </w:rPr>
        <w:t xml:space="preserve"> </w:t>
      </w:r>
      <w:r w:rsidR="00075A0E">
        <w:rPr>
          <w:lang w:val="nl-NL" w:eastAsia="ja-JP"/>
        </w:rPr>
        <w:t xml:space="preserve">As the container of the UE repetition capability or request, it was agreed to adopt higher layer signaling in Msg3 PUSCH and LS to ask the feasibility to RAN2 was sent. Regarding the dynamic indication of the Msg4 PUCCH repetition factor, use of DAI field which is reserved for DCI scrambled with TC-RNTI was agreed. </w:t>
      </w:r>
    </w:p>
    <w:p w14:paraId="24350A45" w14:textId="1E6516DA" w:rsidR="009B0ED2" w:rsidRDefault="009B0ED2" w:rsidP="00481D42">
      <w:pPr>
        <w:rPr>
          <w:lang w:val="nl-NL" w:eastAsia="ja-JP"/>
        </w:rPr>
      </w:pPr>
      <w:r>
        <w:rPr>
          <w:lang w:val="nl-NL" w:eastAsia="ja-JP"/>
        </w:rPr>
        <w:t xml:space="preserve">As remaining issues, RSRP threshold and PUCCH resource configuration are discussed below. </w:t>
      </w:r>
    </w:p>
    <w:p w14:paraId="53F9E9F2" w14:textId="0854A635" w:rsidR="009B0ED2" w:rsidRPr="009B0ED2" w:rsidRDefault="009B0ED2" w:rsidP="00481D42">
      <w:pPr>
        <w:pStyle w:val="3"/>
        <w:ind w:left="920" w:right="200"/>
        <w:rPr>
          <w:lang w:eastAsia="ja-JP"/>
        </w:rPr>
      </w:pPr>
      <w:r>
        <w:rPr>
          <w:lang w:eastAsia="ja-JP"/>
        </w:rPr>
        <w:t>RSRP threshold for Msg4 PUCCH repetition request</w:t>
      </w:r>
    </w:p>
    <w:p w14:paraId="3339D097" w14:textId="272A5D59" w:rsidR="00B05866" w:rsidRPr="00075A0E" w:rsidRDefault="004D3117" w:rsidP="00B05866">
      <w:pPr>
        <w:rPr>
          <w:lang w:val="nl-NL" w:eastAsia="ja-JP"/>
        </w:rPr>
      </w:pPr>
      <w:r>
        <w:rPr>
          <w:lang w:eastAsia="ja-JP"/>
        </w:rPr>
        <w:t>RSRP threshold is used to determine whether to request the Msg4 PUCCH repetition and the following working assumption was agreed in RAN1#112.</w:t>
      </w:r>
    </w:p>
    <w:tbl>
      <w:tblPr>
        <w:tblStyle w:val="afb"/>
        <w:tblW w:w="0" w:type="auto"/>
        <w:tblLook w:val="04A0" w:firstRow="1" w:lastRow="0" w:firstColumn="1" w:lastColumn="0" w:noHBand="0" w:noVBand="1"/>
      </w:tblPr>
      <w:tblGrid>
        <w:gridCol w:w="9629"/>
      </w:tblGrid>
      <w:tr w:rsidR="00B05866" w14:paraId="3D44FE3B" w14:textId="77777777" w:rsidTr="00970332">
        <w:tc>
          <w:tcPr>
            <w:tcW w:w="9629" w:type="dxa"/>
          </w:tcPr>
          <w:p w14:paraId="4C03EEE5" w14:textId="77777777" w:rsidR="00B05866" w:rsidRDefault="00B05866" w:rsidP="00970332">
            <w:pPr>
              <w:ind w:leftChars="-13" w:right="199" w:hangingChars="13" w:hanging="26"/>
              <w:rPr>
                <w:b/>
                <w:szCs w:val="14"/>
                <w:lang w:eastAsia="zh-CN"/>
              </w:rPr>
            </w:pPr>
            <w:r>
              <w:rPr>
                <w:b/>
                <w:szCs w:val="14"/>
                <w:highlight w:val="darkYellow"/>
                <w:lang w:eastAsia="zh-CN"/>
              </w:rPr>
              <w:t>Working assumption</w:t>
            </w:r>
          </w:p>
          <w:p w14:paraId="4DF0B051" w14:textId="77777777" w:rsidR="00B05866" w:rsidRDefault="00B05866" w:rsidP="00970332">
            <w:pPr>
              <w:snapToGrid w:val="0"/>
              <w:ind w:leftChars="-13" w:right="199" w:hangingChars="13" w:hanging="26"/>
              <w:rPr>
                <w:szCs w:val="14"/>
                <w:lang w:val="en-US"/>
              </w:rPr>
            </w:pPr>
            <w:r>
              <w:rPr>
                <w:szCs w:val="14"/>
                <w:lang w:val="en-US"/>
              </w:rPr>
              <w:t>For PUCCH repetition for Msg4 HARQ-ACK,</w:t>
            </w:r>
          </w:p>
          <w:p w14:paraId="25A8E733" w14:textId="77777777" w:rsidR="00B05866" w:rsidRDefault="00B05866" w:rsidP="00B05866">
            <w:pPr>
              <w:numPr>
                <w:ilvl w:val="0"/>
                <w:numId w:val="22"/>
              </w:numPr>
              <w:snapToGrid w:val="0"/>
              <w:spacing w:after="0"/>
              <w:ind w:left="632" w:right="200"/>
              <w:rPr>
                <w:szCs w:val="14"/>
                <w:lang w:val="en-US"/>
              </w:rPr>
            </w:pPr>
            <w:r>
              <w:rPr>
                <w:szCs w:val="14"/>
                <w:lang w:val="en-US"/>
              </w:rPr>
              <w:t>A RSRP threshold can be configured via SIB at least when the number of repetitions is configured by SIB.</w:t>
            </w:r>
          </w:p>
          <w:p w14:paraId="5BBA45D9" w14:textId="77777777" w:rsidR="00B05866" w:rsidRDefault="00B05866" w:rsidP="00B05866">
            <w:pPr>
              <w:numPr>
                <w:ilvl w:val="1"/>
                <w:numId w:val="22"/>
              </w:numPr>
              <w:snapToGrid w:val="0"/>
              <w:spacing w:after="0"/>
              <w:ind w:left="200" w:right="200"/>
              <w:rPr>
                <w:szCs w:val="14"/>
                <w:lang w:val="en-US"/>
              </w:rPr>
            </w:pPr>
            <w:r>
              <w:rPr>
                <w:szCs w:val="14"/>
                <w:lang w:val="en-US"/>
              </w:rPr>
              <w:t>If the RSRP threshold is configured and the configured RSRP threshold is smaller than X,</w:t>
            </w:r>
          </w:p>
          <w:p w14:paraId="14168A20" w14:textId="77777777" w:rsidR="00B05866" w:rsidRDefault="00B05866" w:rsidP="00B05866">
            <w:pPr>
              <w:numPr>
                <w:ilvl w:val="2"/>
                <w:numId w:val="22"/>
              </w:numPr>
              <w:snapToGrid w:val="0"/>
              <w:spacing w:after="0"/>
              <w:ind w:left="920" w:right="200"/>
              <w:rPr>
                <w:szCs w:val="14"/>
                <w:lang w:val="en-US"/>
              </w:rPr>
            </w:pPr>
            <w:r>
              <w:rPr>
                <w:szCs w:val="14"/>
                <w:lang w:val="en-US"/>
              </w:rPr>
              <w:t>UE capable of PUCCH repetition for Msg4 HARQ-ACK transmits repetition request if measured RSRP is lower than a RSRP threshold.</w:t>
            </w:r>
          </w:p>
          <w:p w14:paraId="3FBD9D81" w14:textId="77777777" w:rsidR="00B05866" w:rsidRDefault="00B05866" w:rsidP="00B05866">
            <w:pPr>
              <w:numPr>
                <w:ilvl w:val="1"/>
                <w:numId w:val="22"/>
              </w:numPr>
              <w:snapToGrid w:val="0"/>
              <w:spacing w:after="0"/>
              <w:ind w:left="200" w:right="200"/>
              <w:rPr>
                <w:szCs w:val="14"/>
                <w:lang w:val="en-US"/>
              </w:rPr>
            </w:pPr>
            <w:r>
              <w:rPr>
                <w:szCs w:val="14"/>
                <w:lang w:val="en-US"/>
              </w:rPr>
              <w:t>If the RSRP threshold is not configured, or if the configured RSRP threshold is X,</w:t>
            </w:r>
          </w:p>
          <w:p w14:paraId="68503A53" w14:textId="77777777" w:rsidR="00B05866" w:rsidRDefault="00B05866" w:rsidP="00B05866">
            <w:pPr>
              <w:numPr>
                <w:ilvl w:val="2"/>
                <w:numId w:val="22"/>
              </w:numPr>
              <w:snapToGrid w:val="0"/>
              <w:spacing w:after="0"/>
              <w:ind w:left="920" w:right="200"/>
              <w:rPr>
                <w:szCs w:val="14"/>
                <w:lang w:val="en-US"/>
              </w:rPr>
            </w:pPr>
            <w:r>
              <w:rPr>
                <w:szCs w:val="14"/>
                <w:lang w:val="en-US"/>
              </w:rPr>
              <w:t>UE capable of PUCCH repetition for Msg4 HARQ-ACK reports the capability of PUCCH repetition for Msg4 HARQ-ACK</w:t>
            </w:r>
          </w:p>
          <w:p w14:paraId="68DA6189" w14:textId="77777777" w:rsidR="00B05866" w:rsidRDefault="00B05866" w:rsidP="00B05866">
            <w:pPr>
              <w:numPr>
                <w:ilvl w:val="1"/>
                <w:numId w:val="22"/>
              </w:numPr>
              <w:snapToGrid w:val="0"/>
              <w:spacing w:after="0"/>
              <w:ind w:left="200" w:right="200"/>
              <w:rPr>
                <w:szCs w:val="14"/>
                <w:lang w:val="en-US"/>
              </w:rPr>
            </w:pPr>
            <w:r>
              <w:rPr>
                <w:szCs w:val="14"/>
                <w:lang w:val="en-US"/>
              </w:rPr>
              <w:t>FFS: value of X (the maximum configurable value of the RSRP threshold)</w:t>
            </w:r>
          </w:p>
          <w:p w14:paraId="1CDCA761" w14:textId="77777777" w:rsidR="00B05866" w:rsidRDefault="00B05866" w:rsidP="00B05866">
            <w:pPr>
              <w:numPr>
                <w:ilvl w:val="1"/>
                <w:numId w:val="22"/>
              </w:numPr>
              <w:snapToGrid w:val="0"/>
              <w:spacing w:after="0"/>
              <w:ind w:left="200" w:right="200"/>
              <w:rPr>
                <w:szCs w:val="14"/>
                <w:lang w:val="en-US"/>
              </w:rPr>
            </w:pPr>
            <w:proofErr w:type="gramStart"/>
            <w:r>
              <w:rPr>
                <w:szCs w:val="14"/>
                <w:lang w:val="en-US"/>
              </w:rPr>
              <w:t>Down-select</w:t>
            </w:r>
            <w:proofErr w:type="gramEnd"/>
            <w:r>
              <w:rPr>
                <w:szCs w:val="14"/>
                <w:lang w:val="en-US"/>
              </w:rPr>
              <w:t xml:space="preserve"> one from the following alternatives for the RSRP threshold.</w:t>
            </w:r>
          </w:p>
          <w:p w14:paraId="580DE936" w14:textId="77777777" w:rsidR="00B05866" w:rsidRDefault="00B05866" w:rsidP="00B05866">
            <w:pPr>
              <w:numPr>
                <w:ilvl w:val="2"/>
                <w:numId w:val="22"/>
              </w:numPr>
              <w:snapToGrid w:val="0"/>
              <w:spacing w:after="0"/>
              <w:ind w:left="920" w:right="200"/>
              <w:rPr>
                <w:szCs w:val="14"/>
                <w:lang w:val="en-US"/>
              </w:rPr>
            </w:pPr>
            <w:r>
              <w:rPr>
                <w:szCs w:val="14"/>
                <w:lang w:val="en-US"/>
              </w:rPr>
              <w:t xml:space="preserve">Alt A: The same RSRP threshold as R17 Msg3 repetition (i.e., </w:t>
            </w:r>
            <w:r>
              <w:rPr>
                <w:i/>
                <w:iCs/>
                <w:szCs w:val="14"/>
                <w:lang w:val="en-US"/>
              </w:rPr>
              <w:t>rsrp-ThresholdMsg3-r17</w:t>
            </w:r>
            <w:r>
              <w:rPr>
                <w:szCs w:val="14"/>
                <w:lang w:val="en-US"/>
              </w:rPr>
              <w:t>) is used.</w:t>
            </w:r>
          </w:p>
          <w:p w14:paraId="28B8A691" w14:textId="77777777" w:rsidR="00B05866" w:rsidRDefault="00B05866" w:rsidP="00B05866">
            <w:pPr>
              <w:numPr>
                <w:ilvl w:val="2"/>
                <w:numId w:val="22"/>
              </w:numPr>
              <w:snapToGrid w:val="0"/>
              <w:spacing w:after="0"/>
              <w:ind w:left="920" w:right="200"/>
              <w:rPr>
                <w:szCs w:val="14"/>
                <w:lang w:val="en-US"/>
              </w:rPr>
            </w:pPr>
            <w:r>
              <w:rPr>
                <w:szCs w:val="14"/>
                <w:lang w:val="en-US"/>
              </w:rPr>
              <w:lastRenderedPageBreak/>
              <w:t>Alt B: New RSRP threshold is introduced.</w:t>
            </w:r>
          </w:p>
          <w:p w14:paraId="4EDADC5F" w14:textId="77777777" w:rsidR="00B05866" w:rsidRPr="00481D42" w:rsidRDefault="00B05866" w:rsidP="00B05866">
            <w:pPr>
              <w:numPr>
                <w:ilvl w:val="0"/>
                <w:numId w:val="22"/>
              </w:numPr>
              <w:snapToGrid w:val="0"/>
              <w:spacing w:after="0"/>
              <w:ind w:left="632" w:right="200"/>
              <w:rPr>
                <w:szCs w:val="14"/>
                <w:lang w:val="en-US"/>
              </w:rPr>
            </w:pPr>
            <w:r>
              <w:rPr>
                <w:szCs w:val="14"/>
                <w:lang w:val="en-US"/>
              </w:rPr>
              <w:t>Note: UE incapable of PUCCH repetition for Msg4 HARQ-ACK transmits neither repetition request nor capability report</w:t>
            </w:r>
          </w:p>
        </w:tc>
      </w:tr>
    </w:tbl>
    <w:p w14:paraId="41DBAD1F" w14:textId="7DF00C57" w:rsidR="004D3117" w:rsidRDefault="004D3117" w:rsidP="00B05866">
      <w:pPr>
        <w:rPr>
          <w:lang w:eastAsia="ja-JP"/>
        </w:rPr>
      </w:pPr>
    </w:p>
    <w:p w14:paraId="60D3765B" w14:textId="1050E484" w:rsidR="004D3117" w:rsidRPr="004D3117" w:rsidRDefault="004D3117" w:rsidP="00B05866">
      <w:pPr>
        <w:rPr>
          <w:lang w:val="en-US" w:eastAsia="ja-JP"/>
        </w:rPr>
      </w:pPr>
      <w:proofErr w:type="gramStart"/>
      <w:r>
        <w:rPr>
          <w:lang w:eastAsia="ja-JP"/>
        </w:rPr>
        <w:t>First of all</w:t>
      </w:r>
      <w:proofErr w:type="gramEnd"/>
      <w:r>
        <w:rPr>
          <w:lang w:eastAsia="ja-JP"/>
        </w:rPr>
        <w:t xml:space="preserve">, </w:t>
      </w:r>
      <w:r>
        <w:rPr>
          <w:lang w:val="en-US" w:eastAsia="ja-JP"/>
        </w:rPr>
        <w:t xml:space="preserve">the working assumption should be </w:t>
      </w:r>
      <w:r w:rsidR="00594697">
        <w:rPr>
          <w:lang w:val="en-US" w:eastAsia="ja-JP"/>
        </w:rPr>
        <w:t>confirmed</w:t>
      </w:r>
      <w:r>
        <w:rPr>
          <w:lang w:val="en-US" w:eastAsia="ja-JP"/>
        </w:rPr>
        <w:t xml:space="preserve"> because critical issues have not been found. As discussed in the previous RAN1 meetings, </w:t>
      </w:r>
      <w:r>
        <w:rPr>
          <w:rFonts w:hint="eastAsia"/>
          <w:lang w:val="en-US" w:eastAsia="ja-JP"/>
        </w:rPr>
        <w:t>r</w:t>
      </w:r>
      <w:r w:rsidRPr="00F616C0">
        <w:rPr>
          <w:lang w:val="en-US" w:eastAsia="ja-JP"/>
        </w:rPr>
        <w:t xml:space="preserve">eception power differs depending on UE, </w:t>
      </w:r>
      <w:proofErr w:type="gramStart"/>
      <w:r w:rsidRPr="00F616C0">
        <w:rPr>
          <w:lang w:val="en-US" w:eastAsia="ja-JP"/>
        </w:rPr>
        <w:t>e.g.</w:t>
      </w:r>
      <w:proofErr w:type="gramEnd"/>
      <w:r w:rsidRPr="00F616C0">
        <w:rPr>
          <w:lang w:val="en-US" w:eastAsia="ja-JP"/>
        </w:rPr>
        <w:t xml:space="preserve"> blockage/shade, antenna gain. </w:t>
      </w:r>
      <w:r>
        <w:rPr>
          <w:lang w:val="en-US" w:eastAsia="ja-JP"/>
        </w:rPr>
        <w:t xml:space="preserve">Therefore, </w:t>
      </w:r>
      <w:r w:rsidRPr="00F616C0">
        <w:rPr>
          <w:lang w:val="en-US" w:eastAsia="ja-JP"/>
        </w:rPr>
        <w:t>RSRP threshold (</w:t>
      </w:r>
      <w:proofErr w:type="gramStart"/>
      <w:r w:rsidRPr="00F616C0">
        <w:rPr>
          <w:lang w:val="en-US" w:eastAsia="ja-JP"/>
        </w:rPr>
        <w:t>i.e.</w:t>
      </w:r>
      <w:proofErr w:type="gramEnd"/>
      <w:r w:rsidRPr="00F616C0">
        <w:rPr>
          <w:lang w:val="en-US" w:eastAsia="ja-JP"/>
        </w:rPr>
        <w:t xml:space="preserve"> </w:t>
      </w:r>
      <w:r>
        <w:rPr>
          <w:lang w:val="en-US" w:eastAsia="ja-JP"/>
        </w:rPr>
        <w:t xml:space="preserve">threshold for </w:t>
      </w:r>
      <w:r w:rsidRPr="00F616C0">
        <w:rPr>
          <w:lang w:val="en-US" w:eastAsia="ja-JP"/>
        </w:rPr>
        <w:t xml:space="preserve">repetition request) would be useful especially for cell specific repetition configuration (i.e. only one repetition factor is indicated via SIB) </w:t>
      </w:r>
      <w:r>
        <w:rPr>
          <w:lang w:val="en-US" w:eastAsia="ja-JP"/>
        </w:rPr>
        <w:t xml:space="preserve">where </w:t>
      </w:r>
      <w:r w:rsidRPr="00F616C0">
        <w:rPr>
          <w:lang w:val="en-US" w:eastAsia="ja-JP"/>
        </w:rPr>
        <w:t xml:space="preserve">PRACH/Msg3 reception </w:t>
      </w:r>
      <w:r w:rsidR="00594697">
        <w:rPr>
          <w:lang w:val="en-US" w:eastAsia="ja-JP"/>
        </w:rPr>
        <w:t>signal</w:t>
      </w:r>
      <w:r>
        <w:rPr>
          <w:lang w:val="en-US" w:eastAsia="ja-JP"/>
        </w:rPr>
        <w:t xml:space="preserve"> </w:t>
      </w:r>
      <w:proofErr w:type="spellStart"/>
      <w:r>
        <w:rPr>
          <w:lang w:val="en-US" w:eastAsia="ja-JP"/>
        </w:rPr>
        <w:t>can n</w:t>
      </w:r>
      <w:r w:rsidRPr="00F616C0">
        <w:rPr>
          <w:lang w:val="en-US" w:eastAsia="ja-JP"/>
        </w:rPr>
        <w:t>ot</w:t>
      </w:r>
      <w:proofErr w:type="spellEnd"/>
      <w:r w:rsidRPr="00F616C0">
        <w:rPr>
          <w:lang w:val="en-US" w:eastAsia="ja-JP"/>
        </w:rPr>
        <w:t xml:space="preserve"> be used to determine the PUCCH repetition.</w:t>
      </w:r>
      <w:r>
        <w:rPr>
          <w:lang w:val="en-US" w:eastAsia="ja-JP"/>
        </w:rPr>
        <w:t xml:space="preserve"> Note that our view is that it is also up to network flexibility not to use this RSRP threshold when the network does not see the need of such usage.</w:t>
      </w:r>
    </w:p>
    <w:p w14:paraId="5DE72B67" w14:textId="0A5B50B5" w:rsidR="001C0EBB" w:rsidRDefault="001C0EBB" w:rsidP="00B05866">
      <w:pPr>
        <w:rPr>
          <w:lang w:val="en-US" w:eastAsia="ja-JP"/>
        </w:rPr>
      </w:pPr>
      <w:r>
        <w:rPr>
          <w:lang w:eastAsia="ja-JP"/>
        </w:rPr>
        <w:t xml:space="preserve">Regarding </w:t>
      </w:r>
      <w:r w:rsidR="00B05866">
        <w:rPr>
          <w:lang w:eastAsia="ja-JP"/>
        </w:rPr>
        <w:t xml:space="preserve">the RSRP threshold </w:t>
      </w:r>
      <w:r>
        <w:rPr>
          <w:lang w:eastAsia="ja-JP"/>
        </w:rPr>
        <w:t xml:space="preserve">configuration, </w:t>
      </w:r>
      <w:r w:rsidR="00B05866" w:rsidRPr="002963C3">
        <w:rPr>
          <w:lang w:eastAsia="ja-JP"/>
        </w:rPr>
        <w:t xml:space="preserve">UE requiring Msg4 PUCCH repetition always requires Msg3 PUSCH repetition because required SINR for Msg3 PUSCH is higher than required SINR for Msg4 PUCCH. </w:t>
      </w:r>
      <w:r w:rsidR="00B05866">
        <w:rPr>
          <w:lang w:eastAsia="ja-JP"/>
        </w:rPr>
        <w:t xml:space="preserve">On the other hand, </w:t>
      </w:r>
      <w:r w:rsidR="00B05866" w:rsidRPr="002963C3">
        <w:rPr>
          <w:lang w:eastAsia="ja-JP"/>
        </w:rPr>
        <w:t>UE requiring Msg3 PUSCH repetition does not necessarily require Msg4 PUCCH repetition</w:t>
      </w:r>
      <w:r w:rsidR="00B05866">
        <w:rPr>
          <w:lang w:eastAsia="ja-JP"/>
        </w:rPr>
        <w:t xml:space="preserve"> according to past evaluations</w:t>
      </w:r>
      <w:r w:rsidR="00B05866" w:rsidRPr="002963C3">
        <w:rPr>
          <w:lang w:eastAsia="ja-JP"/>
        </w:rPr>
        <w:t xml:space="preserve">. </w:t>
      </w:r>
      <w:proofErr w:type="gramStart"/>
      <w:r w:rsidR="00B05866">
        <w:rPr>
          <w:lang w:eastAsia="ja-JP"/>
        </w:rPr>
        <w:t>In order to</w:t>
      </w:r>
      <w:proofErr w:type="gramEnd"/>
      <w:r w:rsidR="00B05866">
        <w:rPr>
          <w:lang w:eastAsia="ja-JP"/>
        </w:rPr>
        <w:t xml:space="preserve"> have the possibility that Msg3 PUSCH repetition without Msg4 PUCCH repetition</w:t>
      </w:r>
      <w:r w:rsidR="00B05866" w:rsidRPr="002963C3">
        <w:rPr>
          <w:lang w:eastAsia="ja-JP"/>
        </w:rPr>
        <w:t xml:space="preserve">, separate threshold for Msg4 PUCCH repetition from </w:t>
      </w:r>
      <w:r w:rsidR="00B05866">
        <w:rPr>
          <w:lang w:eastAsia="ja-JP"/>
        </w:rPr>
        <w:t xml:space="preserve">the </w:t>
      </w:r>
      <w:r w:rsidR="00B05866" w:rsidRPr="002963C3">
        <w:rPr>
          <w:lang w:eastAsia="ja-JP"/>
        </w:rPr>
        <w:t xml:space="preserve">one for Msg3 PUSCH repetition is </w:t>
      </w:r>
      <w:r w:rsidR="00594697">
        <w:rPr>
          <w:lang w:eastAsia="ja-JP"/>
        </w:rPr>
        <w:t>essential</w:t>
      </w:r>
      <w:r w:rsidR="00B05866" w:rsidRPr="002963C3">
        <w:rPr>
          <w:lang w:eastAsia="ja-JP"/>
        </w:rPr>
        <w:t>.</w:t>
      </w:r>
      <w:r w:rsidR="00B05866">
        <w:rPr>
          <w:lang w:eastAsia="ja-JP"/>
        </w:rPr>
        <w:t xml:space="preserve"> </w:t>
      </w:r>
      <w:r w:rsidR="00B05866" w:rsidRPr="002963C3">
        <w:rPr>
          <w:lang w:eastAsia="ja-JP"/>
        </w:rPr>
        <w:t>The possible value should be lower than the threshold for msg3 PUSCH repetition</w:t>
      </w:r>
      <w:r w:rsidR="00B05866">
        <w:rPr>
          <w:lang w:eastAsia="ja-JP"/>
        </w:rPr>
        <w:t xml:space="preserve"> and can be configured as relative value</w:t>
      </w:r>
      <w:r w:rsidR="00B05866" w:rsidRPr="002963C3">
        <w:rPr>
          <w:lang w:eastAsia="ja-JP"/>
        </w:rPr>
        <w:t xml:space="preserve">. </w:t>
      </w:r>
      <w:r w:rsidR="00B6577F">
        <w:rPr>
          <w:lang w:eastAsia="ja-JP"/>
        </w:rPr>
        <w:t xml:space="preserve">Therefore, it is reasonable that </w:t>
      </w:r>
      <w:r w:rsidR="00B6577F" w:rsidRPr="00B6577F">
        <w:rPr>
          <w:lang w:eastAsia="ja-JP"/>
        </w:rPr>
        <w:t>RSRP threshold for Msg4 PUCCH repetition is configured as an offset to the RSRP threshold for Msg3 PUSCH repetition.</w:t>
      </w:r>
      <w:r w:rsidR="00B6577F">
        <w:rPr>
          <w:lang w:eastAsia="ja-JP"/>
        </w:rPr>
        <w:t xml:space="preserve"> </w:t>
      </w:r>
      <w:r w:rsidRPr="00F70586">
        <w:rPr>
          <w:lang w:val="en-US" w:eastAsia="ja-JP"/>
        </w:rPr>
        <w:t xml:space="preserve">When </w:t>
      </w:r>
      <w:r>
        <w:rPr>
          <w:lang w:val="en-US" w:eastAsia="ja-JP"/>
        </w:rPr>
        <w:t xml:space="preserve">the </w:t>
      </w:r>
      <w:r w:rsidRPr="00F70586">
        <w:rPr>
          <w:lang w:val="en-US" w:eastAsia="ja-JP"/>
        </w:rPr>
        <w:t>offset is zero or not indicated, UE supporting Msg4 PUCCH repetition uses the same threshold as Msg3 PUSCH repetition.</w:t>
      </w:r>
      <w:r w:rsidR="00B6577F">
        <w:rPr>
          <w:lang w:val="en-US" w:eastAsia="ja-JP"/>
        </w:rPr>
        <w:t xml:space="preserve"> This allows to use the same threshold as Msg3 PUSCH repetition as in Alt A. </w:t>
      </w:r>
    </w:p>
    <w:p w14:paraId="36920A1B" w14:textId="0B8E1F30" w:rsidR="00C304B9" w:rsidRDefault="00C304B9" w:rsidP="00B05866">
      <w:pPr>
        <w:rPr>
          <w:lang w:eastAsia="ja-JP"/>
        </w:rPr>
      </w:pPr>
      <w:r>
        <w:rPr>
          <w:lang w:val="en-US" w:eastAsia="ja-JP"/>
        </w:rPr>
        <w:t>The difference of required SNR between Msg3 PUSCH</w:t>
      </w:r>
      <w:r w:rsidR="00F0348F">
        <w:rPr>
          <w:lang w:val="en-US" w:eastAsia="ja-JP"/>
        </w:rPr>
        <w:t xml:space="preserve"> w/o repetition</w:t>
      </w:r>
      <w:r>
        <w:rPr>
          <w:lang w:val="en-US" w:eastAsia="ja-JP"/>
        </w:rPr>
        <w:t xml:space="preserve"> and Msg4 PUCCH </w:t>
      </w:r>
      <w:r w:rsidR="00F0348F">
        <w:rPr>
          <w:lang w:val="en-US" w:eastAsia="ja-JP"/>
        </w:rPr>
        <w:t xml:space="preserve">w/o repetition </w:t>
      </w:r>
      <w:r>
        <w:rPr>
          <w:lang w:val="en-US" w:eastAsia="ja-JP"/>
        </w:rPr>
        <w:t xml:space="preserve">is </w:t>
      </w:r>
      <w:r w:rsidR="003D7C05">
        <w:rPr>
          <w:lang w:val="en-US" w:eastAsia="ja-JP"/>
        </w:rPr>
        <w:t xml:space="preserve">an </w:t>
      </w:r>
      <w:r w:rsidR="00F0348F">
        <w:rPr>
          <w:lang w:val="en-US" w:eastAsia="ja-JP"/>
        </w:rPr>
        <w:t>order of</w:t>
      </w:r>
      <w:r>
        <w:rPr>
          <w:lang w:val="en-US" w:eastAsia="ja-JP"/>
        </w:rPr>
        <w:t xml:space="preserve"> 10 dB </w:t>
      </w:r>
      <w:r w:rsidR="003D7C05">
        <w:rPr>
          <w:lang w:val="en-US" w:eastAsia="ja-JP"/>
        </w:rPr>
        <w:t>according to</w:t>
      </w:r>
      <w:r>
        <w:rPr>
          <w:lang w:val="en-US" w:eastAsia="ja-JP"/>
        </w:rPr>
        <w:t xml:space="preserve"> our evaluation. </w:t>
      </w:r>
      <w:r w:rsidR="00F0348F">
        <w:rPr>
          <w:lang w:val="en-US" w:eastAsia="ja-JP"/>
        </w:rPr>
        <w:t xml:space="preserve">Offset </w:t>
      </w:r>
      <w:r w:rsidR="003D7C05">
        <w:rPr>
          <w:lang w:val="en-US" w:eastAsia="ja-JP"/>
        </w:rPr>
        <w:t>range 0-15</w:t>
      </w:r>
      <w:r w:rsidR="00F0348F">
        <w:rPr>
          <w:lang w:val="en-US" w:eastAsia="ja-JP"/>
        </w:rPr>
        <w:t xml:space="preserve">dB would be sufficient. </w:t>
      </w:r>
      <w:r w:rsidR="00594697">
        <w:rPr>
          <w:lang w:val="en-US" w:eastAsia="ja-JP"/>
        </w:rPr>
        <w:t xml:space="preserve">RSRP threshold for Msg3 is </w:t>
      </w:r>
      <w:proofErr w:type="spellStart"/>
      <w:r w:rsidR="00594697">
        <w:rPr>
          <w:lang w:val="en-US" w:eastAsia="ja-JP"/>
        </w:rPr>
        <w:t>signalled</w:t>
      </w:r>
      <w:proofErr w:type="spellEnd"/>
      <w:r w:rsidR="00594697">
        <w:rPr>
          <w:lang w:val="en-US" w:eastAsia="ja-JP"/>
        </w:rPr>
        <w:t xml:space="preserve"> as </w:t>
      </w:r>
      <w:r w:rsidR="00594697" w:rsidRPr="00C0503E">
        <w:t>rsrp-ThresholdMsg3-r17</w:t>
      </w:r>
      <w:r w:rsidR="00594697">
        <w:t xml:space="preserve"> and it has </w:t>
      </w:r>
      <w:r w:rsidR="00594697" w:rsidRPr="00C0503E">
        <w:t>RSRP-Range</w:t>
      </w:r>
      <w:r w:rsidR="00594697">
        <w:t xml:space="preserve"> of </w:t>
      </w:r>
      <w:proofErr w:type="gramStart"/>
      <w:r w:rsidR="00594697" w:rsidRPr="00C0503E">
        <w:rPr>
          <w:color w:val="993366"/>
        </w:rPr>
        <w:t>INTEGER</w:t>
      </w:r>
      <w:r w:rsidR="00594697" w:rsidRPr="00C0503E">
        <w:t>(</w:t>
      </w:r>
      <w:proofErr w:type="gramEnd"/>
      <w:r w:rsidR="00594697" w:rsidRPr="00C0503E">
        <w:t>0..127)</w:t>
      </w:r>
      <w:r w:rsidR="00594697">
        <w:t xml:space="preserve">, which </w:t>
      </w:r>
      <w:r w:rsidR="00037C88">
        <w:t xml:space="preserve">would be 7 bits expression. When offset is used of 0-15 dB, it would be expressed by 4 bits. Therefore, relative expression can save 3 bits compared with absolute value </w:t>
      </w:r>
      <w:proofErr w:type="gramStart"/>
      <w:r w:rsidR="00037C88">
        <w:t>expression .</w:t>
      </w:r>
      <w:proofErr w:type="gramEnd"/>
    </w:p>
    <w:p w14:paraId="4E4799BC" w14:textId="77777777" w:rsidR="00EE60FB" w:rsidRDefault="00EE60FB" w:rsidP="00EE60FB">
      <w:pPr>
        <w:rPr>
          <w:b/>
          <w:bCs/>
          <w:lang w:eastAsia="ja-JP"/>
        </w:rPr>
      </w:pPr>
      <w:r>
        <w:rPr>
          <w:rFonts w:hint="eastAsia"/>
          <w:b/>
          <w:bCs/>
          <w:lang w:eastAsia="ja-JP"/>
        </w:rPr>
        <w:t>P</w:t>
      </w:r>
      <w:r>
        <w:rPr>
          <w:b/>
          <w:bCs/>
          <w:lang w:eastAsia="ja-JP"/>
        </w:rPr>
        <w:t>roposal 1: Confirm the working assumption on the RSRP threshold.</w:t>
      </w:r>
    </w:p>
    <w:p w14:paraId="66AC6C02" w14:textId="3A878675" w:rsidR="00EE60FB" w:rsidRDefault="00EE60FB" w:rsidP="00EE60FB">
      <w:pPr>
        <w:rPr>
          <w:b/>
          <w:bCs/>
          <w:lang w:eastAsia="ja-JP"/>
        </w:rPr>
      </w:pPr>
      <w:r w:rsidRPr="00F65CE1">
        <w:rPr>
          <w:b/>
          <w:bCs/>
          <w:lang w:eastAsia="ja-JP"/>
        </w:rPr>
        <w:t>Proposal</w:t>
      </w:r>
      <w:r>
        <w:rPr>
          <w:b/>
          <w:bCs/>
          <w:lang w:eastAsia="ja-JP"/>
        </w:rPr>
        <w:t xml:space="preserve"> 2</w:t>
      </w:r>
      <w:r w:rsidRPr="00F65CE1">
        <w:rPr>
          <w:b/>
          <w:bCs/>
          <w:lang w:eastAsia="ja-JP"/>
        </w:rPr>
        <w:t>: RSRP threshold</w:t>
      </w:r>
      <w:r w:rsidRPr="00EE60FB">
        <w:rPr>
          <w:b/>
          <w:bCs/>
          <w:lang w:eastAsia="ja-JP"/>
        </w:rPr>
        <w:t xml:space="preserve"> </w:t>
      </w:r>
      <w:r w:rsidRPr="00F65CE1">
        <w:rPr>
          <w:b/>
          <w:bCs/>
          <w:lang w:eastAsia="ja-JP"/>
        </w:rPr>
        <w:t>for Msg4 PUCCH repetition should be introduced</w:t>
      </w:r>
      <w:r>
        <w:rPr>
          <w:b/>
          <w:bCs/>
          <w:lang w:eastAsia="ja-JP"/>
        </w:rPr>
        <w:t>.</w:t>
      </w:r>
    </w:p>
    <w:p w14:paraId="2355E7EC" w14:textId="04ABE06C" w:rsidR="001C0EBB" w:rsidRPr="00EE60FB" w:rsidRDefault="00EE60FB" w:rsidP="00B05866">
      <w:pPr>
        <w:rPr>
          <w:b/>
          <w:bCs/>
          <w:lang w:eastAsia="ja-JP"/>
        </w:rPr>
      </w:pPr>
      <w:r w:rsidRPr="00EE60FB">
        <w:rPr>
          <w:rFonts w:hint="eastAsia"/>
          <w:b/>
          <w:bCs/>
          <w:lang w:eastAsia="ja-JP"/>
        </w:rPr>
        <w:t>P</w:t>
      </w:r>
      <w:r w:rsidRPr="00EE60FB">
        <w:rPr>
          <w:b/>
          <w:bCs/>
          <w:lang w:eastAsia="ja-JP"/>
        </w:rPr>
        <w:t>roposal 3: RSRP threshold for Msg4 PUCCH repetition is configured as an offset</w:t>
      </w:r>
      <w:r w:rsidR="003D7C05">
        <w:rPr>
          <w:b/>
          <w:bCs/>
          <w:lang w:eastAsia="ja-JP"/>
        </w:rPr>
        <w:t xml:space="preserve"> with range 0-15 dB</w:t>
      </w:r>
      <w:r w:rsidRPr="00EE60FB">
        <w:rPr>
          <w:b/>
          <w:bCs/>
          <w:lang w:eastAsia="ja-JP"/>
        </w:rPr>
        <w:t xml:space="preserve"> to the RSRP threshold for Msg3 PUSCH repetition. If the offset is zero or not configured, UE supporting Msg4 PUCCH repetition uses the same threshold as Msg3 PUSCH repetition. </w:t>
      </w:r>
    </w:p>
    <w:p w14:paraId="4482BD29" w14:textId="77777777" w:rsidR="00EE60FB" w:rsidRPr="00EE60FB" w:rsidRDefault="00EE60FB" w:rsidP="00B05866">
      <w:pPr>
        <w:rPr>
          <w:lang w:eastAsia="ja-JP"/>
        </w:rPr>
      </w:pPr>
    </w:p>
    <w:p w14:paraId="2FDCC172" w14:textId="77777777" w:rsidR="009B0ED2" w:rsidRDefault="009B0ED2" w:rsidP="009B0ED2">
      <w:pPr>
        <w:pStyle w:val="3"/>
        <w:ind w:left="920" w:right="200"/>
        <w:rPr>
          <w:lang w:eastAsia="ja-JP"/>
        </w:rPr>
      </w:pPr>
      <w:r>
        <w:rPr>
          <w:lang w:eastAsia="ja-JP"/>
        </w:rPr>
        <w:t xml:space="preserve">PUCCH resource for </w:t>
      </w:r>
      <w:r w:rsidRPr="0061337D">
        <w:rPr>
          <w:lang w:eastAsia="ja-JP"/>
        </w:rPr>
        <w:t>Msg4 PUCCH repetition</w:t>
      </w:r>
    </w:p>
    <w:p w14:paraId="42F5F28E" w14:textId="77777777" w:rsidR="009B0ED2" w:rsidRPr="00F95139" w:rsidRDefault="009B0ED2" w:rsidP="009B0ED2">
      <w:pPr>
        <w:autoSpaceDE w:val="0"/>
        <w:autoSpaceDN w:val="0"/>
        <w:adjustRightInd w:val="0"/>
        <w:snapToGrid w:val="0"/>
        <w:spacing w:beforeLines="30" w:before="72" w:line="60" w:lineRule="atLeast"/>
        <w:rPr>
          <w:lang w:val="nl-NL" w:eastAsia="ja-JP"/>
        </w:rPr>
      </w:pPr>
      <w:r>
        <w:rPr>
          <w:lang w:val="nl-NL" w:eastAsia="ja-JP"/>
        </w:rPr>
        <w:t>The resource for Msg4 PUCCH repetition should be separately configured depending on the repetition factor. If the same PUCCH resource is shared between no repeittion and repetition, the PUCCH resource can be collided as PUCCH repetition utilizes more PUCCH resource. The PUCCH resource for the repetition may be realized by the offset from the PUCCH for non-repetition case.</w:t>
      </w:r>
    </w:p>
    <w:p w14:paraId="7066F7A4" w14:textId="22B73A70" w:rsidR="009B0ED2" w:rsidRDefault="009B0ED2" w:rsidP="009B0ED2">
      <w:pPr>
        <w:rPr>
          <w:b/>
          <w:bCs/>
          <w:lang w:eastAsia="ja-JP"/>
        </w:rPr>
      </w:pPr>
      <w:r w:rsidRPr="00081DD5">
        <w:rPr>
          <w:b/>
          <w:bCs/>
          <w:lang w:eastAsia="ja-JP"/>
        </w:rPr>
        <w:t xml:space="preserve">Proposal </w:t>
      </w:r>
      <w:r w:rsidR="003D7C05">
        <w:rPr>
          <w:b/>
          <w:bCs/>
          <w:lang w:eastAsia="ja-JP"/>
        </w:rPr>
        <w:t>4</w:t>
      </w:r>
      <w:r w:rsidRPr="00081DD5">
        <w:rPr>
          <w:b/>
          <w:bCs/>
          <w:lang w:eastAsia="ja-JP"/>
        </w:rPr>
        <w:t xml:space="preserve">: </w:t>
      </w:r>
      <w:r>
        <w:rPr>
          <w:b/>
          <w:bCs/>
          <w:lang w:eastAsia="ja-JP"/>
        </w:rPr>
        <w:t xml:space="preserve">Allow to separately configure PUCCH resources depending on the repetition factor. </w:t>
      </w:r>
    </w:p>
    <w:p w14:paraId="11CE3BE7" w14:textId="77777777" w:rsidR="009B0ED2" w:rsidRPr="009B0ED2" w:rsidRDefault="009B0ED2" w:rsidP="006471B2">
      <w:pPr>
        <w:rPr>
          <w:b/>
          <w:bCs/>
          <w:lang w:eastAsia="ja-JP"/>
        </w:rPr>
      </w:pPr>
    </w:p>
    <w:p w14:paraId="4BA66636" w14:textId="655E063C" w:rsidR="006471B2" w:rsidRDefault="006471B2" w:rsidP="006471B2">
      <w:pPr>
        <w:pStyle w:val="1"/>
        <w:ind w:left="632" w:right="200"/>
        <w:rPr>
          <w:lang w:eastAsia="ja-JP"/>
        </w:rPr>
      </w:pPr>
      <w:r>
        <w:rPr>
          <w:lang w:eastAsia="ja-JP"/>
        </w:rPr>
        <w:t>PUSCH DMRS bundling</w:t>
      </w:r>
    </w:p>
    <w:p w14:paraId="07DF4021" w14:textId="3234B085" w:rsidR="00335FE9" w:rsidRDefault="00335FE9" w:rsidP="00335FE9">
      <w:pPr>
        <w:rPr>
          <w:lang w:eastAsia="ja-JP"/>
        </w:rPr>
      </w:pPr>
      <w:r>
        <w:rPr>
          <w:lang w:eastAsia="ja-JP"/>
        </w:rPr>
        <w:t xml:space="preserve">On PUSCH DMRS bundling, the following is a summary of the working assumptions/agreements so far. </w:t>
      </w:r>
    </w:p>
    <w:tbl>
      <w:tblPr>
        <w:tblStyle w:val="afb"/>
        <w:tblW w:w="0" w:type="auto"/>
        <w:tblLook w:val="04A0" w:firstRow="1" w:lastRow="0" w:firstColumn="1" w:lastColumn="0" w:noHBand="0" w:noVBand="1"/>
      </w:tblPr>
      <w:tblGrid>
        <w:gridCol w:w="9629"/>
      </w:tblGrid>
      <w:tr w:rsidR="00335FE9" w14:paraId="2A2AC0FD" w14:textId="77777777" w:rsidTr="00335FE9">
        <w:tc>
          <w:tcPr>
            <w:tcW w:w="9629" w:type="dxa"/>
          </w:tcPr>
          <w:p w14:paraId="25262B8F" w14:textId="77777777" w:rsidR="00335FE9" w:rsidRPr="00335FE9" w:rsidRDefault="00335FE9" w:rsidP="00335FE9">
            <w:pPr>
              <w:numPr>
                <w:ilvl w:val="0"/>
                <w:numId w:val="37"/>
              </w:numPr>
              <w:tabs>
                <w:tab w:val="clear" w:pos="720"/>
              </w:tabs>
              <w:ind w:left="316" w:hanging="263"/>
              <w:rPr>
                <w:lang w:val="en-US" w:eastAsia="ja-JP"/>
              </w:rPr>
            </w:pPr>
            <w:r w:rsidRPr="00335FE9">
              <w:rPr>
                <w:lang w:val="en-US" w:eastAsia="ja-JP"/>
              </w:rPr>
              <w:t xml:space="preserve">It is assumed that pre-compensation to keep phase rotation due to timing drift within the phase difference limit can be performed at UE side. </w:t>
            </w:r>
          </w:p>
          <w:p w14:paraId="4461E2D1" w14:textId="77777777" w:rsidR="00335FE9" w:rsidRPr="00335FE9" w:rsidRDefault="00335FE9" w:rsidP="00335FE9">
            <w:pPr>
              <w:numPr>
                <w:ilvl w:val="0"/>
                <w:numId w:val="37"/>
              </w:numPr>
              <w:tabs>
                <w:tab w:val="clear" w:pos="720"/>
              </w:tabs>
              <w:ind w:left="316" w:hanging="263"/>
              <w:rPr>
                <w:lang w:val="en-US" w:eastAsia="ja-JP"/>
              </w:rPr>
            </w:pPr>
            <w:r w:rsidRPr="00335FE9">
              <w:rPr>
                <w:lang w:val="en-US" w:eastAsia="ja-JP"/>
              </w:rPr>
              <w:t>UE shall not perform TA pre-compensation update within an actual TDW if it causes phase discontinuity that may violate the phase difference limit.</w:t>
            </w:r>
          </w:p>
          <w:p w14:paraId="1C37F746" w14:textId="4BEE803D" w:rsidR="00335FE9" w:rsidRPr="00335FE9" w:rsidRDefault="00335FE9" w:rsidP="00335FE9">
            <w:pPr>
              <w:numPr>
                <w:ilvl w:val="0"/>
                <w:numId w:val="37"/>
              </w:numPr>
              <w:tabs>
                <w:tab w:val="clear" w:pos="720"/>
              </w:tabs>
              <w:ind w:left="316" w:hanging="263"/>
              <w:rPr>
                <w:lang w:val="en-US" w:eastAsia="ja-JP"/>
              </w:rPr>
            </w:pPr>
            <w:r w:rsidRPr="00335FE9">
              <w:rPr>
                <w:lang w:val="en-US" w:eastAsia="ja-JP"/>
              </w:rPr>
              <w:t xml:space="preserve">Nominal TDW is determined based on </w:t>
            </w:r>
            <w:proofErr w:type="spellStart"/>
            <w:r w:rsidRPr="00335FE9">
              <w:rPr>
                <w:lang w:val="en-US" w:eastAsia="ja-JP"/>
              </w:rPr>
              <w:t>gNB</w:t>
            </w:r>
            <w:proofErr w:type="spellEnd"/>
            <w:r w:rsidRPr="00335FE9">
              <w:rPr>
                <w:lang w:val="en-US" w:eastAsia="ja-JP"/>
              </w:rPr>
              <w:t xml:space="preserve"> configuration.</w:t>
            </w:r>
            <w:r>
              <w:rPr>
                <w:rFonts w:hint="eastAsia"/>
                <w:lang w:val="en-US" w:eastAsia="ja-JP"/>
              </w:rPr>
              <w:t xml:space="preserve"> </w:t>
            </w:r>
            <w:r w:rsidRPr="00335FE9">
              <w:rPr>
                <w:lang w:val="en-US" w:eastAsia="ja-JP"/>
              </w:rPr>
              <w:t>Reuse clause 6.1.7 in TS38.214 for nominal TDW determination, except for aspects related to UE capabilities and assistance information (if needed).</w:t>
            </w:r>
          </w:p>
          <w:p w14:paraId="2A15F2CD" w14:textId="77777777" w:rsidR="00335FE9" w:rsidRPr="00335FE9" w:rsidRDefault="00335FE9" w:rsidP="00335FE9">
            <w:pPr>
              <w:numPr>
                <w:ilvl w:val="0"/>
                <w:numId w:val="37"/>
              </w:numPr>
              <w:tabs>
                <w:tab w:val="clear" w:pos="720"/>
              </w:tabs>
              <w:ind w:left="316" w:hanging="263"/>
              <w:rPr>
                <w:lang w:val="en-US" w:eastAsia="ja-JP"/>
              </w:rPr>
            </w:pPr>
            <w:r w:rsidRPr="00335FE9">
              <w:rPr>
                <w:lang w:val="en-US" w:eastAsia="ja-JP"/>
              </w:rPr>
              <w:t xml:space="preserve">Actual TDW is determined based on </w:t>
            </w:r>
            <w:proofErr w:type="spellStart"/>
            <w:r w:rsidRPr="00335FE9">
              <w:rPr>
                <w:lang w:val="en-US" w:eastAsia="ja-JP"/>
              </w:rPr>
              <w:t>gNB</w:t>
            </w:r>
            <w:proofErr w:type="spellEnd"/>
            <w:r w:rsidRPr="00335FE9">
              <w:rPr>
                <w:lang w:val="en-US" w:eastAsia="ja-JP"/>
              </w:rPr>
              <w:t xml:space="preserve"> configuration/indication.</w:t>
            </w:r>
          </w:p>
          <w:p w14:paraId="78427FB8" w14:textId="4D13B220" w:rsidR="00335FE9" w:rsidRPr="00335FE9" w:rsidRDefault="00335FE9" w:rsidP="00335FE9">
            <w:pPr>
              <w:numPr>
                <w:ilvl w:val="0"/>
                <w:numId w:val="37"/>
              </w:numPr>
              <w:tabs>
                <w:tab w:val="clear" w:pos="720"/>
              </w:tabs>
              <w:ind w:left="316" w:hanging="263"/>
              <w:rPr>
                <w:lang w:val="en-US" w:eastAsia="ja-JP"/>
              </w:rPr>
            </w:pPr>
            <w:r w:rsidRPr="00335FE9">
              <w:rPr>
                <w:lang w:val="en-US" w:eastAsia="ja-JP"/>
              </w:rPr>
              <w:t xml:space="preserve">List of options/alternatives on actual TDW determination and UE capability report/assistance information (for down-selection). </w:t>
            </w:r>
          </w:p>
        </w:tc>
      </w:tr>
    </w:tbl>
    <w:p w14:paraId="29187B72" w14:textId="1155E7E6" w:rsidR="00335FE9" w:rsidRDefault="00335FE9" w:rsidP="00335FE9">
      <w:pPr>
        <w:rPr>
          <w:lang w:val="en-US" w:eastAsia="ja-JP"/>
        </w:rPr>
      </w:pPr>
      <w:r>
        <w:rPr>
          <w:lang w:val="en-US" w:eastAsia="ja-JP"/>
        </w:rPr>
        <w:t xml:space="preserve">We discuss the following remaining issues. </w:t>
      </w:r>
    </w:p>
    <w:p w14:paraId="0A89D1E0" w14:textId="23D7C5D7" w:rsidR="00335FE9" w:rsidRPr="00335FE9" w:rsidRDefault="00335FE9" w:rsidP="00335FE9">
      <w:pPr>
        <w:pStyle w:val="aff3"/>
        <w:numPr>
          <w:ilvl w:val="0"/>
          <w:numId w:val="38"/>
        </w:numPr>
        <w:ind w:leftChars="0"/>
        <w:rPr>
          <w:lang w:val="en-US" w:eastAsia="ja-JP"/>
        </w:rPr>
      </w:pPr>
      <w:r w:rsidRPr="00335FE9">
        <w:rPr>
          <w:lang w:val="en-US" w:eastAsia="ja-JP"/>
        </w:rPr>
        <w:lastRenderedPageBreak/>
        <w:t>Actual TDW determination method/rule/event</w:t>
      </w:r>
    </w:p>
    <w:p w14:paraId="644523EA" w14:textId="242D4DD5" w:rsidR="00335FE9" w:rsidRPr="00335FE9" w:rsidRDefault="00335FE9" w:rsidP="00335FE9">
      <w:pPr>
        <w:pStyle w:val="aff3"/>
        <w:numPr>
          <w:ilvl w:val="0"/>
          <w:numId w:val="38"/>
        </w:numPr>
        <w:ind w:leftChars="0"/>
        <w:rPr>
          <w:lang w:val="en-US" w:eastAsia="ja-JP"/>
        </w:rPr>
      </w:pPr>
      <w:r w:rsidRPr="00335FE9">
        <w:rPr>
          <w:lang w:val="en-US" w:eastAsia="ja-JP"/>
        </w:rPr>
        <w:t xml:space="preserve">Contents of UE capability report </w:t>
      </w:r>
    </w:p>
    <w:p w14:paraId="12792B19" w14:textId="0E199C1F" w:rsidR="00335FE9" w:rsidRDefault="00335FE9" w:rsidP="00335FE9">
      <w:pPr>
        <w:pStyle w:val="aff3"/>
        <w:numPr>
          <w:ilvl w:val="0"/>
          <w:numId w:val="38"/>
        </w:numPr>
        <w:ind w:leftChars="0"/>
        <w:rPr>
          <w:lang w:val="en-US" w:eastAsia="ja-JP"/>
        </w:rPr>
      </w:pPr>
      <w:r w:rsidRPr="00335FE9">
        <w:rPr>
          <w:lang w:val="en-US" w:eastAsia="ja-JP"/>
        </w:rPr>
        <w:t>Necessity/contents of UE assistance information</w:t>
      </w:r>
    </w:p>
    <w:p w14:paraId="56B13DA8" w14:textId="77777777" w:rsidR="00335FE9" w:rsidRPr="00335FE9" w:rsidRDefault="00335FE9" w:rsidP="00335FE9">
      <w:pPr>
        <w:rPr>
          <w:lang w:val="en-US" w:eastAsia="ja-JP"/>
        </w:rPr>
      </w:pPr>
    </w:p>
    <w:p w14:paraId="599ED68D" w14:textId="13D069B7" w:rsidR="00FE4B9E" w:rsidRDefault="00335FE9" w:rsidP="00FE4B9E">
      <w:pPr>
        <w:pStyle w:val="2"/>
        <w:ind w:left="632" w:right="200"/>
        <w:rPr>
          <w:lang w:val="en-US" w:eastAsia="ja-JP"/>
        </w:rPr>
      </w:pPr>
      <w:r>
        <w:rPr>
          <w:lang w:val="en-US" w:eastAsia="ja-JP"/>
        </w:rPr>
        <w:t xml:space="preserve">Actual </w:t>
      </w:r>
      <w:r w:rsidR="00FE4B9E">
        <w:rPr>
          <w:rFonts w:hint="eastAsia"/>
          <w:lang w:val="en-US" w:eastAsia="ja-JP"/>
        </w:rPr>
        <w:t>T</w:t>
      </w:r>
      <w:r w:rsidR="00FE4B9E">
        <w:rPr>
          <w:lang w:val="en-US" w:eastAsia="ja-JP"/>
        </w:rPr>
        <w:t xml:space="preserve">DW </w:t>
      </w:r>
      <w:r>
        <w:rPr>
          <w:lang w:val="en-US" w:eastAsia="ja-JP"/>
        </w:rPr>
        <w:t>determination</w:t>
      </w:r>
    </w:p>
    <w:p w14:paraId="06255F8B" w14:textId="6C33DE6F" w:rsidR="00335FE9" w:rsidRPr="00335FE9" w:rsidRDefault="00681FF0" w:rsidP="00681FF0">
      <w:pPr>
        <w:rPr>
          <w:rFonts w:eastAsiaTheme="minorEastAsia"/>
          <w:lang w:val="en-US" w:eastAsia="ja-JP"/>
        </w:rPr>
      </w:pPr>
      <w:r>
        <w:rPr>
          <w:rFonts w:eastAsiaTheme="minorEastAsia" w:hint="eastAsia"/>
          <w:lang w:val="en-US" w:eastAsia="ja-JP"/>
        </w:rPr>
        <w:t>U</w:t>
      </w:r>
      <w:r>
        <w:rPr>
          <w:rFonts w:eastAsiaTheme="minorEastAsia"/>
          <w:lang w:val="en-US" w:eastAsia="ja-JP"/>
        </w:rPr>
        <w:t xml:space="preserve">E performs TA pre-compensation based on the satellite location and UE location. </w:t>
      </w:r>
      <w:r w:rsidR="00335FE9" w:rsidRPr="00335FE9">
        <w:rPr>
          <w:rFonts w:eastAsiaTheme="minorEastAsia"/>
          <w:lang w:val="en-US" w:eastAsia="ja-JP"/>
        </w:rPr>
        <w:t>It was agreed that UE shall not perform TA pre-compensation update within an actual TDW if it causes phase discontinuity that may violate the phase difference limit.</w:t>
      </w:r>
      <w:r>
        <w:rPr>
          <w:rFonts w:eastAsiaTheme="minorEastAsia" w:hint="eastAsia"/>
          <w:lang w:val="en-US" w:eastAsia="ja-JP"/>
        </w:rPr>
        <w:t xml:space="preserve"> </w:t>
      </w:r>
      <w:r>
        <w:rPr>
          <w:rFonts w:eastAsiaTheme="minorEastAsia"/>
          <w:lang w:val="en-US" w:eastAsia="ja-JP"/>
        </w:rPr>
        <w:t xml:space="preserve">Therefore, </w:t>
      </w:r>
      <w:r w:rsidR="00335FE9" w:rsidRPr="00335FE9">
        <w:rPr>
          <w:rFonts w:eastAsiaTheme="minorEastAsia"/>
          <w:lang w:val="en-US" w:eastAsia="ja-JP"/>
        </w:rPr>
        <w:t xml:space="preserve">UE updates the TA pre-compensation according to the satellite movement between </w:t>
      </w:r>
      <w:r>
        <w:rPr>
          <w:rFonts w:eastAsiaTheme="minorEastAsia"/>
          <w:lang w:val="en-US" w:eastAsia="ja-JP"/>
        </w:rPr>
        <w:t xml:space="preserve">the </w:t>
      </w:r>
      <w:r w:rsidR="00335FE9" w:rsidRPr="00335FE9">
        <w:rPr>
          <w:rFonts w:eastAsiaTheme="minorEastAsia"/>
          <w:lang w:val="en-US" w:eastAsia="ja-JP"/>
        </w:rPr>
        <w:t>actual TDWs. Discussion point is possible situation where actual TDWs are too long or too short for the TA pre-compensation update timing.</w:t>
      </w:r>
    </w:p>
    <w:p w14:paraId="37811918" w14:textId="6D1BFB50" w:rsidR="00FE4B9E" w:rsidRDefault="00681FF0" w:rsidP="00FE4B9E">
      <w:pPr>
        <w:rPr>
          <w:rFonts w:eastAsiaTheme="minorEastAsia"/>
          <w:lang w:val="en-US" w:eastAsia="ja-JP"/>
        </w:rPr>
      </w:pPr>
      <w:r>
        <w:rPr>
          <w:rFonts w:eastAsiaTheme="minorEastAsia"/>
          <w:lang w:val="en-US" w:eastAsia="ja-JP"/>
        </w:rPr>
        <w:t>T</w:t>
      </w:r>
      <w:r w:rsidR="00FE4B9E">
        <w:rPr>
          <w:rFonts w:eastAsiaTheme="minorEastAsia"/>
          <w:lang w:val="en-US" w:eastAsia="ja-JP"/>
        </w:rPr>
        <w:t xml:space="preserve">he following </w:t>
      </w:r>
      <w:r w:rsidR="009F6AD1">
        <w:rPr>
          <w:rFonts w:eastAsiaTheme="minorEastAsia"/>
          <w:lang w:val="en-US" w:eastAsia="ja-JP"/>
        </w:rPr>
        <w:t xml:space="preserve">candidates </w:t>
      </w:r>
      <w:r>
        <w:rPr>
          <w:rFonts w:eastAsiaTheme="minorEastAsia"/>
          <w:lang w:val="en-US" w:eastAsia="ja-JP"/>
        </w:rPr>
        <w:t xml:space="preserve">for the actual TDW determination </w:t>
      </w:r>
      <w:r w:rsidR="00FE4B9E">
        <w:rPr>
          <w:rFonts w:eastAsiaTheme="minorEastAsia"/>
          <w:lang w:val="en-US" w:eastAsia="ja-JP"/>
        </w:rPr>
        <w:t xml:space="preserve">were listed </w:t>
      </w:r>
      <w:r w:rsidR="009F6AD1">
        <w:rPr>
          <w:rFonts w:eastAsiaTheme="minorEastAsia"/>
          <w:lang w:val="en-US" w:eastAsia="ja-JP"/>
        </w:rPr>
        <w:t>in RAN1#113</w:t>
      </w:r>
      <w:r w:rsidR="00FE4B9E">
        <w:rPr>
          <w:rFonts w:eastAsiaTheme="minorEastAsia"/>
          <w:lang w:val="en-US" w:eastAsia="ja-JP"/>
        </w:rPr>
        <w:t>.</w:t>
      </w:r>
    </w:p>
    <w:p w14:paraId="03A82AD0" w14:textId="77777777" w:rsidR="00FE4B9E" w:rsidRDefault="00FE4B9E" w:rsidP="00FE4B9E">
      <w:pPr>
        <w:numPr>
          <w:ilvl w:val="1"/>
          <w:numId w:val="22"/>
        </w:numPr>
        <w:snapToGrid w:val="0"/>
        <w:spacing w:after="0"/>
        <w:ind w:left="426" w:hanging="284"/>
        <w:rPr>
          <w:szCs w:val="16"/>
          <w:lang w:val="en-US"/>
        </w:rPr>
      </w:pPr>
      <w:r>
        <w:rPr>
          <w:rFonts w:eastAsia="DengXian"/>
          <w:szCs w:val="16"/>
          <w:lang w:val="en-US"/>
        </w:rPr>
        <w:t>Alt A: No additional event</w:t>
      </w:r>
    </w:p>
    <w:p w14:paraId="657F2947"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i.e., no spec impact is assumed for actual TDW determination.</w:t>
      </w:r>
    </w:p>
    <w:p w14:paraId="5A5F8014" w14:textId="77777777" w:rsidR="00FE4B9E" w:rsidRDefault="00FE4B9E" w:rsidP="00FE4B9E">
      <w:pPr>
        <w:numPr>
          <w:ilvl w:val="1"/>
          <w:numId w:val="22"/>
        </w:numPr>
        <w:snapToGrid w:val="0"/>
        <w:spacing w:after="0"/>
        <w:ind w:left="426" w:hanging="284"/>
        <w:rPr>
          <w:szCs w:val="16"/>
          <w:lang w:val="en-US"/>
        </w:rPr>
      </w:pPr>
      <w:r>
        <w:rPr>
          <w:rFonts w:eastAsia="DengXian"/>
          <w:szCs w:val="16"/>
          <w:lang w:val="en-US"/>
        </w:rPr>
        <w:t xml:space="preserve">Alt B: New event of TA pre-compensation timing dynamically indicated by </w:t>
      </w:r>
      <w:proofErr w:type="spellStart"/>
      <w:proofErr w:type="gramStart"/>
      <w:r>
        <w:rPr>
          <w:rFonts w:eastAsia="DengXian"/>
          <w:szCs w:val="16"/>
          <w:lang w:val="en-US"/>
        </w:rPr>
        <w:t>gNB</w:t>
      </w:r>
      <w:proofErr w:type="spellEnd"/>
      <w:proofErr w:type="gramEnd"/>
    </w:p>
    <w:p w14:paraId="1CC15FB3"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 xml:space="preserve">i.e., TA pre-compensation timing can be dynamically indicated by </w:t>
      </w:r>
      <w:proofErr w:type="spellStart"/>
      <w:proofErr w:type="gramStart"/>
      <w:r>
        <w:rPr>
          <w:rFonts w:eastAsia="DengXian"/>
          <w:szCs w:val="16"/>
          <w:lang w:val="en-US"/>
        </w:rPr>
        <w:t>gNB</w:t>
      </w:r>
      <w:proofErr w:type="spellEnd"/>
      <w:proofErr w:type="gramEnd"/>
    </w:p>
    <w:p w14:paraId="4181271A"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Note: UE can perform TA pre-compensation update at the indicated timing</w:t>
      </w:r>
    </w:p>
    <w:p w14:paraId="12C5D874"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FFS: detailed indication</w:t>
      </w:r>
    </w:p>
    <w:p w14:paraId="4B0DA2F8" w14:textId="77777777" w:rsidR="00FE4B9E" w:rsidRDefault="00FE4B9E" w:rsidP="00FE4B9E">
      <w:pPr>
        <w:numPr>
          <w:ilvl w:val="1"/>
          <w:numId w:val="22"/>
        </w:numPr>
        <w:snapToGrid w:val="0"/>
        <w:spacing w:after="0"/>
        <w:ind w:left="426" w:hanging="284"/>
        <w:rPr>
          <w:szCs w:val="16"/>
          <w:lang w:val="en-US"/>
        </w:rPr>
      </w:pPr>
      <w:r>
        <w:rPr>
          <w:rFonts w:eastAsia="DengXian"/>
          <w:szCs w:val="16"/>
          <w:lang w:val="en-US"/>
        </w:rPr>
        <w:t xml:space="preserve">Alt C: as dynamically indicated by </w:t>
      </w:r>
      <w:proofErr w:type="spellStart"/>
      <w:proofErr w:type="gramStart"/>
      <w:r>
        <w:rPr>
          <w:rFonts w:eastAsia="DengXian"/>
          <w:szCs w:val="16"/>
          <w:lang w:val="en-US"/>
        </w:rPr>
        <w:t>gNB</w:t>
      </w:r>
      <w:proofErr w:type="spellEnd"/>
      <w:proofErr w:type="gramEnd"/>
    </w:p>
    <w:p w14:paraId="6531F336"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 xml:space="preserve">i.e., actual TDW can be dynamically indicated by </w:t>
      </w:r>
      <w:proofErr w:type="spellStart"/>
      <w:proofErr w:type="gramStart"/>
      <w:r>
        <w:rPr>
          <w:rFonts w:eastAsia="DengXian"/>
          <w:szCs w:val="16"/>
          <w:lang w:val="en-US"/>
        </w:rPr>
        <w:t>gNB</w:t>
      </w:r>
      <w:proofErr w:type="spellEnd"/>
      <w:proofErr w:type="gramEnd"/>
    </w:p>
    <w:p w14:paraId="484C46C4"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FFS: detailed indication</w:t>
      </w:r>
    </w:p>
    <w:p w14:paraId="3143B97A" w14:textId="77777777" w:rsidR="00FE4B9E" w:rsidRDefault="00FE4B9E" w:rsidP="00FE4B9E">
      <w:pPr>
        <w:numPr>
          <w:ilvl w:val="1"/>
          <w:numId w:val="22"/>
        </w:numPr>
        <w:snapToGrid w:val="0"/>
        <w:spacing w:after="0"/>
        <w:ind w:left="426" w:hanging="284"/>
        <w:rPr>
          <w:szCs w:val="16"/>
          <w:lang w:val="en-US"/>
        </w:rPr>
      </w:pPr>
      <w:r>
        <w:rPr>
          <w:rFonts w:eastAsia="DengXian"/>
          <w:szCs w:val="16"/>
          <w:lang w:val="en-US"/>
        </w:rPr>
        <w:t xml:space="preserve">Alt D: New event based on epoch </w:t>
      </w:r>
      <w:proofErr w:type="gramStart"/>
      <w:r>
        <w:rPr>
          <w:rFonts w:eastAsia="DengXian"/>
          <w:szCs w:val="16"/>
          <w:lang w:val="en-US"/>
        </w:rPr>
        <w:t>time</w:t>
      </w:r>
      <w:proofErr w:type="gramEnd"/>
    </w:p>
    <w:p w14:paraId="0E2F42DB" w14:textId="77777777" w:rsidR="00FE4B9E" w:rsidRDefault="00FE4B9E" w:rsidP="00FE4B9E">
      <w:pPr>
        <w:numPr>
          <w:ilvl w:val="2"/>
          <w:numId w:val="22"/>
        </w:numPr>
        <w:snapToGrid w:val="0"/>
        <w:spacing w:after="0"/>
        <w:ind w:left="426" w:firstLine="141"/>
        <w:rPr>
          <w:szCs w:val="16"/>
          <w:lang w:val="en-US"/>
        </w:rPr>
      </w:pPr>
      <w:r>
        <w:rPr>
          <w:rFonts w:eastAsia="DengXian"/>
          <w:szCs w:val="16"/>
          <w:lang w:val="en-US"/>
        </w:rPr>
        <w:t xml:space="preserve">FFS </w:t>
      </w:r>
      <w:proofErr w:type="gramStart"/>
      <w:r>
        <w:rPr>
          <w:rFonts w:eastAsia="DengXian"/>
          <w:szCs w:val="16"/>
          <w:lang w:val="en-US"/>
        </w:rPr>
        <w:t>details</w:t>
      </w:r>
      <w:proofErr w:type="gramEnd"/>
    </w:p>
    <w:p w14:paraId="4624949D" w14:textId="77777777" w:rsidR="00FE4B9E" w:rsidRDefault="00FE4B9E" w:rsidP="00FE4B9E">
      <w:pPr>
        <w:numPr>
          <w:ilvl w:val="1"/>
          <w:numId w:val="22"/>
        </w:numPr>
        <w:snapToGrid w:val="0"/>
        <w:spacing w:after="0"/>
        <w:ind w:left="426" w:hanging="284"/>
        <w:rPr>
          <w:szCs w:val="16"/>
          <w:lang w:val="en-US"/>
        </w:rPr>
      </w:pPr>
      <w:r>
        <w:rPr>
          <w:rFonts w:eastAsia="DengXian"/>
          <w:szCs w:val="16"/>
          <w:lang w:val="en-US"/>
        </w:rPr>
        <w:t xml:space="preserve">Alt E: New event based on antenna </w:t>
      </w:r>
      <w:proofErr w:type="gramStart"/>
      <w:r>
        <w:rPr>
          <w:rFonts w:eastAsia="DengXian"/>
          <w:szCs w:val="16"/>
          <w:lang w:val="en-US"/>
        </w:rPr>
        <w:t>switching</w:t>
      </w:r>
      <w:proofErr w:type="gramEnd"/>
    </w:p>
    <w:p w14:paraId="5F83CA87" w14:textId="17FAAD2B" w:rsidR="004634B7" w:rsidRDefault="004634B7" w:rsidP="00FE4B9E">
      <w:pPr>
        <w:rPr>
          <w:rFonts w:eastAsiaTheme="minorEastAsia"/>
          <w:lang w:eastAsia="ja-JP"/>
        </w:rPr>
      </w:pPr>
    </w:p>
    <w:p w14:paraId="32D4E459" w14:textId="1CE92863" w:rsidR="004634B7" w:rsidRDefault="004634B7" w:rsidP="00FE4B9E">
      <w:pPr>
        <w:rPr>
          <w:rFonts w:eastAsiaTheme="minorEastAsia"/>
          <w:lang w:eastAsia="ja-JP"/>
        </w:rPr>
      </w:pPr>
      <w:r>
        <w:rPr>
          <w:rFonts w:eastAsiaTheme="minorEastAsia"/>
          <w:lang w:eastAsia="ja-JP"/>
        </w:rPr>
        <w:t xml:space="preserve">For </w:t>
      </w:r>
      <w:r>
        <w:rPr>
          <w:rFonts w:eastAsiaTheme="minorEastAsia" w:hint="eastAsia"/>
          <w:lang w:eastAsia="ja-JP"/>
        </w:rPr>
        <w:t>A</w:t>
      </w:r>
      <w:r>
        <w:rPr>
          <w:rFonts w:eastAsiaTheme="minorEastAsia"/>
          <w:lang w:eastAsia="ja-JP"/>
        </w:rPr>
        <w:t xml:space="preserve">lt A, no additional event </w:t>
      </w:r>
      <w:r w:rsidR="00691EAF">
        <w:rPr>
          <w:rFonts w:eastAsiaTheme="minorEastAsia"/>
          <w:lang w:eastAsia="ja-JP"/>
        </w:rPr>
        <w:t xml:space="preserve">is defined </w:t>
      </w:r>
      <w:r>
        <w:rPr>
          <w:rFonts w:eastAsiaTheme="minorEastAsia"/>
          <w:lang w:eastAsia="ja-JP"/>
        </w:rPr>
        <w:t xml:space="preserve">to determine the actual TDW. This implies that </w:t>
      </w:r>
      <w:r w:rsidR="00F90BEF">
        <w:rPr>
          <w:rFonts w:eastAsiaTheme="minorEastAsia"/>
          <w:lang w:eastAsia="ja-JP"/>
        </w:rPr>
        <w:t>actual TDW is not impacted by the TA pre-compensation update</w:t>
      </w:r>
      <w:r w:rsidR="00691EAF">
        <w:rPr>
          <w:rFonts w:eastAsiaTheme="minorEastAsia"/>
          <w:lang w:eastAsia="ja-JP"/>
        </w:rPr>
        <w:t xml:space="preserve"> timing</w:t>
      </w:r>
      <w:r w:rsidR="00F90BEF">
        <w:rPr>
          <w:rFonts w:eastAsiaTheme="minorEastAsia"/>
          <w:lang w:eastAsia="ja-JP"/>
        </w:rPr>
        <w:t xml:space="preserve">. </w:t>
      </w:r>
      <w:proofErr w:type="spellStart"/>
      <w:r w:rsidR="00F90BEF">
        <w:rPr>
          <w:rFonts w:eastAsiaTheme="minorEastAsia"/>
          <w:lang w:eastAsia="ja-JP"/>
        </w:rPr>
        <w:t>gNB</w:t>
      </w:r>
      <w:proofErr w:type="spellEnd"/>
      <w:r w:rsidR="00F90BEF">
        <w:rPr>
          <w:rFonts w:eastAsiaTheme="minorEastAsia"/>
          <w:lang w:eastAsia="ja-JP"/>
        </w:rPr>
        <w:t xml:space="preserve"> </w:t>
      </w:r>
      <w:r w:rsidR="00691EAF">
        <w:rPr>
          <w:rFonts w:eastAsiaTheme="minorEastAsia"/>
          <w:lang w:eastAsia="ja-JP"/>
        </w:rPr>
        <w:t xml:space="preserve">is required </w:t>
      </w:r>
      <w:r w:rsidR="00F90BEF">
        <w:rPr>
          <w:rFonts w:eastAsiaTheme="minorEastAsia"/>
          <w:lang w:eastAsia="ja-JP"/>
        </w:rPr>
        <w:t xml:space="preserve">to ensure the TDW configuration such that UE can update the TA pre-compensation between the nominal TDW with sufficient frequency to follow the timing </w:t>
      </w:r>
      <w:r w:rsidR="00691EAF">
        <w:rPr>
          <w:rFonts w:eastAsiaTheme="minorEastAsia"/>
          <w:lang w:eastAsia="ja-JP"/>
        </w:rPr>
        <w:t xml:space="preserve">change </w:t>
      </w:r>
      <w:r w:rsidR="00F90BEF">
        <w:rPr>
          <w:rFonts w:eastAsiaTheme="minorEastAsia"/>
          <w:lang w:eastAsia="ja-JP"/>
        </w:rPr>
        <w:t xml:space="preserve">due to </w:t>
      </w:r>
      <w:r w:rsidR="00691EAF">
        <w:rPr>
          <w:rFonts w:eastAsiaTheme="minorEastAsia"/>
          <w:lang w:eastAsia="ja-JP"/>
        </w:rPr>
        <w:t xml:space="preserve">the </w:t>
      </w:r>
      <w:r w:rsidR="00F90BEF">
        <w:rPr>
          <w:rFonts w:eastAsiaTheme="minorEastAsia"/>
          <w:lang w:eastAsia="ja-JP"/>
        </w:rPr>
        <w:t xml:space="preserve">satellite movement. </w:t>
      </w:r>
      <w:proofErr w:type="spellStart"/>
      <w:r w:rsidR="00F90BEF">
        <w:rPr>
          <w:rFonts w:eastAsiaTheme="minorEastAsia"/>
          <w:lang w:eastAsia="ja-JP"/>
        </w:rPr>
        <w:t>gNB</w:t>
      </w:r>
      <w:proofErr w:type="spellEnd"/>
      <w:r w:rsidR="00F90BEF">
        <w:rPr>
          <w:rFonts w:eastAsiaTheme="minorEastAsia"/>
          <w:lang w:eastAsia="ja-JP"/>
        </w:rPr>
        <w:t xml:space="preserve"> may update nominal TDW by RRC reconfiguration</w:t>
      </w:r>
      <w:r w:rsidR="00F90BEF" w:rsidRPr="00F90BEF">
        <w:rPr>
          <w:rFonts w:eastAsiaTheme="minorEastAsia"/>
          <w:lang w:eastAsia="ja-JP"/>
        </w:rPr>
        <w:t xml:space="preserve"> </w:t>
      </w:r>
      <w:r w:rsidR="00F90BEF">
        <w:rPr>
          <w:rFonts w:eastAsiaTheme="minorEastAsia"/>
          <w:lang w:eastAsia="ja-JP"/>
        </w:rPr>
        <w:t xml:space="preserve">based on the UE capability report or assistance information (discussed in section 3.2). </w:t>
      </w:r>
      <w:r w:rsidR="00CC66D7">
        <w:rPr>
          <w:rFonts w:eastAsiaTheme="minorEastAsia"/>
          <w:lang w:eastAsia="ja-JP"/>
        </w:rPr>
        <w:t>Because of RRC reconfiguration, the reflection timing is not deterministic</w:t>
      </w:r>
      <w:r w:rsidR="00691EAF">
        <w:rPr>
          <w:rFonts w:eastAsiaTheme="minorEastAsia"/>
          <w:lang w:eastAsia="ja-JP"/>
        </w:rPr>
        <w:t xml:space="preserve"> and misalignment between </w:t>
      </w:r>
      <w:proofErr w:type="spellStart"/>
      <w:r w:rsidR="00691EAF">
        <w:rPr>
          <w:rFonts w:eastAsiaTheme="minorEastAsia"/>
          <w:lang w:eastAsia="ja-JP"/>
        </w:rPr>
        <w:t>gNB</w:t>
      </w:r>
      <w:proofErr w:type="spellEnd"/>
      <w:r w:rsidR="00691EAF">
        <w:rPr>
          <w:rFonts w:eastAsiaTheme="minorEastAsia"/>
          <w:lang w:eastAsia="ja-JP"/>
        </w:rPr>
        <w:t xml:space="preserve"> and UE may happen. </w:t>
      </w:r>
      <w:r w:rsidR="00CC66D7">
        <w:rPr>
          <w:rFonts w:eastAsiaTheme="minorEastAsia"/>
          <w:lang w:eastAsia="ja-JP"/>
        </w:rPr>
        <w:t xml:space="preserve"> </w:t>
      </w:r>
    </w:p>
    <w:p w14:paraId="152FEFEA" w14:textId="5FEDAA2D" w:rsidR="00EC0C4E" w:rsidRDefault="00F90BEF" w:rsidP="00EC0C4E">
      <w:pPr>
        <w:rPr>
          <w:rFonts w:eastAsiaTheme="minorEastAsia"/>
          <w:lang w:eastAsia="ja-JP"/>
        </w:rPr>
      </w:pPr>
      <w:r>
        <w:rPr>
          <w:rFonts w:eastAsiaTheme="minorEastAsia" w:hint="eastAsia"/>
          <w:lang w:eastAsia="ja-JP"/>
        </w:rPr>
        <w:t>F</w:t>
      </w:r>
      <w:r>
        <w:rPr>
          <w:rFonts w:eastAsiaTheme="minorEastAsia"/>
          <w:lang w:eastAsia="ja-JP"/>
        </w:rPr>
        <w:t>or Alt B</w:t>
      </w:r>
      <w:r w:rsidR="003B1418">
        <w:rPr>
          <w:rFonts w:eastAsiaTheme="minorEastAsia"/>
          <w:lang w:eastAsia="ja-JP"/>
        </w:rPr>
        <w:t xml:space="preserve"> and Alt C, actual TDW is determined based on the dynamic indication </w:t>
      </w:r>
      <w:r w:rsidR="00EC0C4E">
        <w:rPr>
          <w:rFonts w:eastAsiaTheme="minorEastAsia"/>
          <w:lang w:eastAsia="ja-JP"/>
        </w:rPr>
        <w:t>from the</w:t>
      </w:r>
      <w:r w:rsidR="003B1418">
        <w:rPr>
          <w:rFonts w:eastAsiaTheme="minorEastAsia"/>
          <w:lang w:eastAsia="ja-JP"/>
        </w:rPr>
        <w:t xml:space="preserve"> </w:t>
      </w:r>
      <w:proofErr w:type="spellStart"/>
      <w:r w:rsidR="003B1418">
        <w:rPr>
          <w:rFonts w:eastAsiaTheme="minorEastAsia"/>
          <w:lang w:eastAsia="ja-JP"/>
        </w:rPr>
        <w:t>gNB</w:t>
      </w:r>
      <w:proofErr w:type="spellEnd"/>
      <w:r w:rsidR="003B1418">
        <w:rPr>
          <w:rFonts w:eastAsiaTheme="minorEastAsia"/>
          <w:lang w:eastAsia="ja-JP"/>
        </w:rPr>
        <w:t xml:space="preserve">. </w:t>
      </w:r>
      <w:proofErr w:type="spellStart"/>
      <w:r w:rsidR="00DA4EE8">
        <w:rPr>
          <w:rFonts w:eastAsiaTheme="minorEastAsia"/>
          <w:lang w:eastAsia="ja-JP"/>
        </w:rPr>
        <w:t>gNB</w:t>
      </w:r>
      <w:proofErr w:type="spellEnd"/>
      <w:r w:rsidR="00DA4EE8">
        <w:rPr>
          <w:rFonts w:eastAsiaTheme="minorEastAsia"/>
          <w:lang w:eastAsia="ja-JP"/>
        </w:rPr>
        <w:t xml:space="preserve"> would indicate the actual TDW based on the satellite location and/or UE capability report or assistance information (discussed in section 3.2). </w:t>
      </w:r>
      <w:r w:rsidR="00EC0C4E">
        <w:rPr>
          <w:rFonts w:eastAsiaTheme="minorEastAsia"/>
          <w:lang w:eastAsia="ja-JP"/>
        </w:rPr>
        <w:t xml:space="preserve">In Alt B, </w:t>
      </w:r>
      <w:proofErr w:type="spellStart"/>
      <w:r w:rsidR="00EC0C4E">
        <w:rPr>
          <w:rFonts w:eastAsiaTheme="minorEastAsia"/>
          <w:lang w:eastAsia="ja-JP"/>
        </w:rPr>
        <w:t>gNB</w:t>
      </w:r>
      <w:proofErr w:type="spellEnd"/>
      <w:r w:rsidR="00EC0C4E">
        <w:rPr>
          <w:rFonts w:eastAsiaTheme="minorEastAsia"/>
          <w:lang w:eastAsia="ja-JP"/>
        </w:rPr>
        <w:t xml:space="preserve"> indicates the TA pre-compensation update timing, </w:t>
      </w:r>
      <w:proofErr w:type="gramStart"/>
      <w:r w:rsidR="00691EAF">
        <w:rPr>
          <w:rFonts w:eastAsiaTheme="minorEastAsia"/>
          <w:lang w:eastAsia="ja-JP"/>
        </w:rPr>
        <w:t>i.e.</w:t>
      </w:r>
      <w:proofErr w:type="gramEnd"/>
      <w:r w:rsidR="00691EAF">
        <w:rPr>
          <w:rFonts w:eastAsiaTheme="minorEastAsia"/>
          <w:lang w:eastAsia="ja-JP"/>
        </w:rPr>
        <w:t xml:space="preserve"> forces UE to update the TA pre-compensation at the indicated timing. </w:t>
      </w:r>
      <w:r w:rsidR="00EC0C4E">
        <w:rPr>
          <w:rFonts w:eastAsiaTheme="minorEastAsia"/>
          <w:lang w:eastAsia="ja-JP"/>
        </w:rPr>
        <w:t xml:space="preserve">On the other hand, in Alt C, </w:t>
      </w:r>
      <w:proofErr w:type="spellStart"/>
      <w:r w:rsidR="00EC0C4E">
        <w:rPr>
          <w:rFonts w:eastAsiaTheme="minorEastAsia"/>
          <w:lang w:eastAsia="ja-JP"/>
        </w:rPr>
        <w:t>gNB</w:t>
      </w:r>
      <w:proofErr w:type="spellEnd"/>
      <w:r w:rsidR="00EC0C4E">
        <w:rPr>
          <w:rFonts w:eastAsiaTheme="minorEastAsia"/>
          <w:lang w:eastAsia="ja-JP"/>
        </w:rPr>
        <w:t xml:space="preserve"> directly indicates the actual TDW length</w:t>
      </w:r>
      <w:r w:rsidR="00DA4EE8">
        <w:rPr>
          <w:rFonts w:eastAsiaTheme="minorEastAsia"/>
          <w:lang w:eastAsia="ja-JP"/>
        </w:rPr>
        <w:t>,</w:t>
      </w:r>
      <w:r w:rsidR="00EC0C4E">
        <w:rPr>
          <w:rFonts w:eastAsiaTheme="minorEastAsia"/>
          <w:lang w:eastAsia="ja-JP"/>
        </w:rPr>
        <w:t xml:space="preserve"> and timing of the TA pre-compensation update is </w:t>
      </w:r>
      <w:r w:rsidR="00DA4EE8">
        <w:rPr>
          <w:rFonts w:eastAsiaTheme="minorEastAsia"/>
          <w:lang w:eastAsia="ja-JP"/>
        </w:rPr>
        <w:t xml:space="preserve">up to UE implementation. </w:t>
      </w:r>
      <w:r w:rsidR="00A253C2">
        <w:rPr>
          <w:rFonts w:eastAsiaTheme="minorEastAsia"/>
          <w:lang w:eastAsia="ja-JP"/>
        </w:rPr>
        <w:t xml:space="preserve">Therefore, Alt C is more generic and desired than Alt B. </w:t>
      </w:r>
      <w:proofErr w:type="gramStart"/>
      <w:r w:rsidR="00C47D0A">
        <w:rPr>
          <w:lang w:val="en-US" w:eastAsia="ja-JP"/>
        </w:rPr>
        <w:t>In order to</w:t>
      </w:r>
      <w:proofErr w:type="gramEnd"/>
      <w:r w:rsidR="00C47D0A">
        <w:rPr>
          <w:lang w:val="en-US" w:eastAsia="ja-JP"/>
        </w:rPr>
        <w:t xml:space="preserve"> allow a prompt reflection of the TDW without ambiguity period</w:t>
      </w:r>
      <w:r w:rsidR="00A253C2">
        <w:rPr>
          <w:lang w:val="en-US" w:eastAsia="ja-JP"/>
        </w:rPr>
        <w:t xml:space="preserve"> and without impacting DCI design</w:t>
      </w:r>
      <w:r w:rsidR="00C47D0A">
        <w:rPr>
          <w:lang w:val="en-US" w:eastAsia="ja-JP"/>
        </w:rPr>
        <w:t>, MAC CE signaling would be desirable.</w:t>
      </w:r>
      <w:r w:rsidR="00DA4EE8">
        <w:rPr>
          <w:rFonts w:eastAsiaTheme="minorEastAsia"/>
          <w:lang w:eastAsia="ja-JP"/>
        </w:rPr>
        <w:t xml:space="preserve"> </w:t>
      </w:r>
    </w:p>
    <w:p w14:paraId="6922647F" w14:textId="781E8DA3" w:rsidR="00F90BEF" w:rsidRDefault="00DA4EE8" w:rsidP="00EC0C4E">
      <w:pPr>
        <w:rPr>
          <w:rFonts w:eastAsiaTheme="minorEastAsia"/>
          <w:lang w:eastAsia="ja-JP"/>
        </w:rPr>
      </w:pPr>
      <w:r>
        <w:rPr>
          <w:rFonts w:eastAsiaTheme="minorEastAsia"/>
          <w:lang w:eastAsia="ja-JP"/>
        </w:rPr>
        <w:t xml:space="preserve">Alt D and Alt E can be discussed independently from the </w:t>
      </w:r>
      <w:r w:rsidR="00AD012C">
        <w:rPr>
          <w:rFonts w:eastAsiaTheme="minorEastAsia"/>
          <w:lang w:eastAsia="ja-JP"/>
        </w:rPr>
        <w:t>other alternatives because the purpose is different</w:t>
      </w:r>
      <w:r>
        <w:rPr>
          <w:rFonts w:eastAsiaTheme="minorEastAsia"/>
          <w:lang w:eastAsia="ja-JP"/>
        </w:rPr>
        <w:t xml:space="preserve">. </w:t>
      </w:r>
      <w:r w:rsidR="00A253C2">
        <w:rPr>
          <w:rFonts w:eastAsiaTheme="minorEastAsia"/>
          <w:lang w:eastAsia="ja-JP"/>
        </w:rPr>
        <w:t>In our understanding, t</w:t>
      </w:r>
      <w:r w:rsidR="00DF5BC9">
        <w:rPr>
          <w:rFonts w:eastAsiaTheme="minorEastAsia"/>
          <w:lang w:eastAsia="ja-JP"/>
        </w:rPr>
        <w:t>he intention of Alt D</w:t>
      </w:r>
      <w:r w:rsidR="00A253C2">
        <w:rPr>
          <w:rFonts w:eastAsiaTheme="minorEastAsia"/>
          <w:lang w:eastAsia="ja-JP"/>
        </w:rPr>
        <w:t xml:space="preserve"> </w:t>
      </w:r>
      <w:r w:rsidR="00DF5BC9">
        <w:rPr>
          <w:rFonts w:eastAsiaTheme="minorEastAsia"/>
          <w:lang w:eastAsia="ja-JP"/>
        </w:rPr>
        <w:t xml:space="preserve">is that when the validity of the common TA parameters and/or satellite ephemeris is going to expire, UE updates the TA according to the new TA parameters, then actual TDW is determined based on the TA </w:t>
      </w:r>
      <w:r w:rsidR="00A253C2">
        <w:rPr>
          <w:rFonts w:eastAsiaTheme="minorEastAsia"/>
          <w:lang w:eastAsia="ja-JP"/>
        </w:rPr>
        <w:t xml:space="preserve">pre-compensation </w:t>
      </w:r>
      <w:r w:rsidR="00DF5BC9">
        <w:rPr>
          <w:rFonts w:eastAsiaTheme="minorEastAsia"/>
          <w:lang w:eastAsia="ja-JP"/>
        </w:rPr>
        <w:t xml:space="preserve">update. However, </w:t>
      </w:r>
      <w:r w:rsidR="00AF6DAD">
        <w:rPr>
          <w:rFonts w:eastAsiaTheme="minorEastAsia"/>
          <w:lang w:eastAsia="ja-JP"/>
        </w:rPr>
        <w:t>since the</w:t>
      </w:r>
      <w:r w:rsidR="00DF5BC9">
        <w:rPr>
          <w:rFonts w:eastAsiaTheme="minorEastAsia"/>
          <w:lang w:eastAsia="ja-JP"/>
        </w:rPr>
        <w:t xml:space="preserve"> validity timer is in the order of seconds</w:t>
      </w:r>
      <w:r w:rsidR="00073967">
        <w:rPr>
          <w:rFonts w:eastAsiaTheme="minorEastAsia"/>
          <w:lang w:eastAsia="ja-JP"/>
        </w:rPr>
        <w:t xml:space="preserve"> (&gt; 5s)</w:t>
      </w:r>
      <w:r w:rsidR="00DF5BC9">
        <w:rPr>
          <w:rFonts w:eastAsiaTheme="minorEastAsia"/>
          <w:lang w:eastAsia="ja-JP"/>
        </w:rPr>
        <w:t xml:space="preserve">, there would be enough time to update the TA parameters after nominal TDW before expiring the validity. </w:t>
      </w:r>
    </w:p>
    <w:p w14:paraId="40B32B18" w14:textId="79B42FD0" w:rsidR="00DF5BC9" w:rsidRDefault="00DF5BC9" w:rsidP="00EC0C4E">
      <w:pPr>
        <w:rPr>
          <w:lang w:eastAsia="ja-JP"/>
        </w:rPr>
      </w:pPr>
      <w:r>
        <w:rPr>
          <w:rFonts w:eastAsiaTheme="minorEastAsia" w:hint="eastAsia"/>
          <w:lang w:eastAsia="ja-JP"/>
        </w:rPr>
        <w:t>A</w:t>
      </w:r>
      <w:r>
        <w:rPr>
          <w:rFonts w:eastAsiaTheme="minorEastAsia"/>
          <w:lang w:eastAsia="ja-JP"/>
        </w:rPr>
        <w:t xml:space="preserve">lt E would not be NTN specific </w:t>
      </w:r>
      <w:r w:rsidR="00D92429">
        <w:rPr>
          <w:rFonts w:eastAsiaTheme="minorEastAsia"/>
          <w:lang w:eastAsia="ja-JP"/>
        </w:rPr>
        <w:t>enhancements. We are not sure if this is within the scope of the Rel.18 NTN enhancement because WID says “</w:t>
      </w:r>
      <w:r w:rsidR="00D92429">
        <w:rPr>
          <w:lang w:eastAsia="ja-JP"/>
        </w:rPr>
        <w:t xml:space="preserve">To </w:t>
      </w:r>
      <w:proofErr w:type="gramStart"/>
      <w:r w:rsidR="00D92429">
        <w:rPr>
          <w:lang w:eastAsia="ja-JP"/>
        </w:rPr>
        <w:t>specify</w:t>
      </w:r>
      <w:proofErr w:type="gramEnd"/>
      <w:r w:rsidR="00D92429">
        <w:rPr>
          <w:lang w:eastAsia="ja-JP"/>
        </w:rPr>
        <w:t xml:space="preserve"> if necessary, enhancements to the Rel-17 procedures for DMRS bundling for PUSCH </w:t>
      </w:r>
      <w:r w:rsidR="00D92429" w:rsidRPr="00D92429">
        <w:rPr>
          <w:u w:val="single"/>
          <w:lang w:eastAsia="ja-JP"/>
        </w:rPr>
        <w:t>taking into account NTN-specifics</w:t>
      </w:r>
      <w:r w:rsidR="00D92429">
        <w:rPr>
          <w:lang w:eastAsia="ja-JP"/>
        </w:rPr>
        <w:t xml:space="preserve"> (e.g. time-frequency pre-compensation)”. </w:t>
      </w:r>
      <w:r w:rsidR="005F2F2C">
        <w:rPr>
          <w:lang w:eastAsia="ja-JP"/>
        </w:rPr>
        <w:t>Since antenna switching aspect is not limited to NTN, separate discussion including TN would be preferable.</w:t>
      </w:r>
    </w:p>
    <w:p w14:paraId="0F58FD50" w14:textId="77777777" w:rsidR="00D92429" w:rsidRDefault="00D92429" w:rsidP="00EC0C4E">
      <w:pPr>
        <w:rPr>
          <w:rFonts w:eastAsiaTheme="minorEastAsia"/>
          <w:lang w:eastAsia="ja-JP"/>
        </w:rPr>
      </w:pPr>
    </w:p>
    <w:p w14:paraId="230310BA" w14:textId="422C262E" w:rsidR="00D92429" w:rsidRPr="00073967" w:rsidRDefault="00D92429" w:rsidP="00EC0C4E">
      <w:pPr>
        <w:rPr>
          <w:rFonts w:eastAsiaTheme="minorEastAsia"/>
          <w:b/>
          <w:bCs/>
          <w:lang w:eastAsia="ja-JP"/>
        </w:rPr>
      </w:pPr>
      <w:r w:rsidRPr="00073967">
        <w:rPr>
          <w:rFonts w:eastAsiaTheme="minorEastAsia" w:hint="eastAsia"/>
          <w:b/>
          <w:bCs/>
          <w:lang w:eastAsia="ja-JP"/>
        </w:rPr>
        <w:t>P</w:t>
      </w:r>
      <w:r w:rsidRPr="00073967">
        <w:rPr>
          <w:rFonts w:eastAsiaTheme="minorEastAsia"/>
          <w:b/>
          <w:bCs/>
          <w:lang w:eastAsia="ja-JP"/>
        </w:rPr>
        <w:t>roposal</w:t>
      </w:r>
      <w:r w:rsidR="00073967" w:rsidRPr="00073967">
        <w:rPr>
          <w:rFonts w:eastAsiaTheme="minorEastAsia"/>
          <w:b/>
          <w:bCs/>
          <w:lang w:eastAsia="ja-JP"/>
        </w:rPr>
        <w:t xml:space="preserve"> 5</w:t>
      </w:r>
      <w:r w:rsidRPr="00073967">
        <w:rPr>
          <w:rFonts w:eastAsiaTheme="minorEastAsia"/>
          <w:b/>
          <w:bCs/>
          <w:lang w:eastAsia="ja-JP"/>
        </w:rPr>
        <w:t xml:space="preserve">: </w:t>
      </w:r>
      <w:r w:rsidR="0069786A">
        <w:rPr>
          <w:rFonts w:eastAsiaTheme="minorEastAsia"/>
          <w:b/>
          <w:bCs/>
          <w:lang w:eastAsia="ja-JP"/>
        </w:rPr>
        <w:t>Support a</w:t>
      </w:r>
      <w:r w:rsidR="00073967" w:rsidRPr="00073967">
        <w:rPr>
          <w:rFonts w:eastAsiaTheme="minorEastAsia"/>
          <w:b/>
          <w:bCs/>
          <w:lang w:eastAsia="ja-JP"/>
        </w:rPr>
        <w:t>ctual TDW indicat</w:t>
      </w:r>
      <w:r w:rsidR="0069786A">
        <w:rPr>
          <w:rFonts w:eastAsiaTheme="minorEastAsia"/>
          <w:b/>
          <w:bCs/>
          <w:lang w:eastAsia="ja-JP"/>
        </w:rPr>
        <w:t>ion</w:t>
      </w:r>
      <w:r w:rsidR="00073967" w:rsidRPr="00073967">
        <w:rPr>
          <w:rFonts w:eastAsiaTheme="minorEastAsia"/>
          <w:b/>
          <w:bCs/>
          <w:lang w:eastAsia="ja-JP"/>
        </w:rPr>
        <w:t xml:space="preserve"> by </w:t>
      </w:r>
      <w:proofErr w:type="spellStart"/>
      <w:r w:rsidR="00073967" w:rsidRPr="00073967">
        <w:rPr>
          <w:rFonts w:eastAsiaTheme="minorEastAsia"/>
          <w:b/>
          <w:bCs/>
          <w:lang w:eastAsia="ja-JP"/>
        </w:rPr>
        <w:t>gNB</w:t>
      </w:r>
      <w:proofErr w:type="spellEnd"/>
      <w:r w:rsidR="00073967" w:rsidRPr="00073967">
        <w:rPr>
          <w:rFonts w:eastAsiaTheme="minorEastAsia"/>
          <w:b/>
          <w:bCs/>
          <w:lang w:eastAsia="ja-JP"/>
        </w:rPr>
        <w:t xml:space="preserve"> via MAC CE</w:t>
      </w:r>
      <w:r w:rsidR="0069786A">
        <w:rPr>
          <w:rFonts w:eastAsiaTheme="minorEastAsia"/>
          <w:b/>
          <w:bCs/>
          <w:lang w:eastAsia="ja-JP"/>
        </w:rPr>
        <w:t>.</w:t>
      </w:r>
    </w:p>
    <w:p w14:paraId="620A18C6" w14:textId="77777777" w:rsidR="00D92429" w:rsidRPr="00073967" w:rsidRDefault="00D92429" w:rsidP="00EC0C4E">
      <w:pPr>
        <w:rPr>
          <w:rFonts w:eastAsiaTheme="minorEastAsia"/>
          <w:lang w:eastAsia="ja-JP"/>
        </w:rPr>
      </w:pPr>
    </w:p>
    <w:p w14:paraId="7535BF1A" w14:textId="652CA9A1" w:rsidR="00FE4B9E" w:rsidRDefault="00FE4B9E" w:rsidP="00FE4B9E">
      <w:pPr>
        <w:pStyle w:val="2"/>
        <w:ind w:left="632" w:right="200"/>
        <w:rPr>
          <w:lang w:eastAsia="ja-JP"/>
        </w:rPr>
      </w:pPr>
      <w:r>
        <w:rPr>
          <w:rFonts w:hint="eastAsia"/>
          <w:lang w:eastAsia="ja-JP"/>
        </w:rPr>
        <w:lastRenderedPageBreak/>
        <w:t>U</w:t>
      </w:r>
      <w:r>
        <w:rPr>
          <w:lang w:eastAsia="ja-JP"/>
        </w:rPr>
        <w:t>E capability and assistance information</w:t>
      </w:r>
    </w:p>
    <w:p w14:paraId="2A78534B" w14:textId="0FF61619" w:rsidR="001A6F86" w:rsidRPr="001A6F86" w:rsidRDefault="001A6F86" w:rsidP="001A6F86">
      <w:pPr>
        <w:rPr>
          <w:rFonts w:eastAsiaTheme="minorEastAsia"/>
          <w:lang w:val="en-US" w:eastAsia="ja-JP"/>
        </w:rPr>
      </w:pPr>
      <w:r w:rsidRPr="001A6F86">
        <w:rPr>
          <w:rFonts w:eastAsiaTheme="minorEastAsia"/>
          <w:lang w:val="en-US" w:eastAsia="ja-JP"/>
        </w:rPr>
        <w:t xml:space="preserve">Possible TDW size depends on UE’s TA pre-compensation update timing. </w:t>
      </w:r>
      <w:r>
        <w:rPr>
          <w:rFonts w:eastAsiaTheme="minorEastAsia"/>
          <w:lang w:val="en-US" w:eastAsia="ja-JP"/>
        </w:rPr>
        <w:t>However, n</w:t>
      </w:r>
      <w:r w:rsidRPr="001A6F86">
        <w:rPr>
          <w:rFonts w:eastAsiaTheme="minorEastAsia"/>
          <w:lang w:val="en-US" w:eastAsia="ja-JP"/>
        </w:rPr>
        <w:t xml:space="preserve">ecessary TA pre-compensation update interval depends on UE location, satellite altitude and elevation angle. </w:t>
      </w:r>
      <w:r>
        <w:rPr>
          <w:rFonts w:eastAsiaTheme="minorEastAsia"/>
          <w:lang w:val="en-US" w:eastAsia="ja-JP"/>
        </w:rPr>
        <w:t>Therefore, w</w:t>
      </w:r>
      <w:r w:rsidRPr="001A6F86">
        <w:rPr>
          <w:rFonts w:eastAsiaTheme="minorEastAsia"/>
          <w:lang w:val="en-US" w:eastAsia="ja-JP"/>
        </w:rPr>
        <w:t xml:space="preserve">hat to be reported by UE as the TDW capability need to be clarified in the specification to allow appropriate </w:t>
      </w:r>
      <w:proofErr w:type="spellStart"/>
      <w:r w:rsidRPr="001A6F86">
        <w:rPr>
          <w:rFonts w:eastAsiaTheme="minorEastAsia"/>
          <w:lang w:val="en-US" w:eastAsia="ja-JP"/>
        </w:rPr>
        <w:t>gNB’s</w:t>
      </w:r>
      <w:proofErr w:type="spellEnd"/>
      <w:r w:rsidRPr="001A6F86">
        <w:rPr>
          <w:rFonts w:eastAsiaTheme="minorEastAsia"/>
          <w:lang w:val="en-US" w:eastAsia="ja-JP"/>
        </w:rPr>
        <w:t xml:space="preserve"> behavior.</w:t>
      </w:r>
    </w:p>
    <w:p w14:paraId="2A628B1C" w14:textId="7DE08C6E" w:rsidR="004D1902" w:rsidRPr="00214BDB" w:rsidRDefault="00283B07" w:rsidP="00FE4B9E">
      <w:pPr>
        <w:rPr>
          <w:rFonts w:eastAsiaTheme="minorEastAsia"/>
          <w:lang w:eastAsia="ja-JP"/>
        </w:rPr>
      </w:pPr>
      <w:r>
        <w:rPr>
          <w:rFonts w:eastAsiaTheme="minorEastAsia"/>
          <w:lang w:eastAsia="ja-JP"/>
        </w:rPr>
        <w:t xml:space="preserve">In RAN1#113, the following options were listed for UE capability report and assistance information. </w:t>
      </w:r>
    </w:p>
    <w:p w14:paraId="3E8F72FA" w14:textId="77777777" w:rsidR="00FE4B9E" w:rsidRDefault="00FE4B9E" w:rsidP="00FE4B9E">
      <w:pPr>
        <w:rPr>
          <w:b/>
          <w:szCs w:val="14"/>
          <w:lang w:eastAsia="zh-CN"/>
        </w:rPr>
      </w:pPr>
      <w:r>
        <w:rPr>
          <w:b/>
          <w:szCs w:val="14"/>
          <w:highlight w:val="green"/>
          <w:lang w:eastAsia="zh-CN"/>
        </w:rPr>
        <w:t>Agreement</w:t>
      </w:r>
    </w:p>
    <w:p w14:paraId="203AA5E8" w14:textId="77777777" w:rsidR="00FE4B9E" w:rsidRDefault="00FE4B9E" w:rsidP="00FE4B9E">
      <w:pPr>
        <w:snapToGrid w:val="0"/>
        <w:jc w:val="both"/>
        <w:rPr>
          <w:rFonts w:eastAsia="DengXian"/>
          <w:szCs w:val="16"/>
          <w:lang w:val="en-US"/>
        </w:rPr>
      </w:pPr>
      <w:r>
        <w:rPr>
          <w:szCs w:val="18"/>
          <w:lang w:val="en-US"/>
        </w:rPr>
        <w:t xml:space="preserve">For NTN-specific PUSCH DMRS bundling, </w:t>
      </w:r>
    </w:p>
    <w:p w14:paraId="04FB7AE5" w14:textId="77777777" w:rsidR="00FE4B9E" w:rsidRDefault="00FE4B9E" w:rsidP="00FE4B9E">
      <w:pPr>
        <w:numPr>
          <w:ilvl w:val="0"/>
          <w:numId w:val="22"/>
        </w:numPr>
        <w:snapToGrid w:val="0"/>
        <w:spacing w:after="0"/>
        <w:ind w:left="720"/>
        <w:rPr>
          <w:szCs w:val="16"/>
          <w:lang w:val="en-US"/>
        </w:rPr>
      </w:pPr>
      <w:r>
        <w:rPr>
          <w:rFonts w:eastAsia="DengXian"/>
          <w:szCs w:val="16"/>
          <w:lang w:val="en-US"/>
        </w:rPr>
        <w:t xml:space="preserve">As UE capability report (in addition to FG 44-2), </w:t>
      </w:r>
      <w:r>
        <w:rPr>
          <w:szCs w:val="18"/>
          <w:lang w:val="en-US"/>
        </w:rPr>
        <w:t xml:space="preserve">one or more of the following is </w:t>
      </w:r>
      <w:proofErr w:type="gramStart"/>
      <w:r>
        <w:rPr>
          <w:szCs w:val="18"/>
          <w:lang w:val="en-US"/>
        </w:rPr>
        <w:t>down-selected</w:t>
      </w:r>
      <w:proofErr w:type="gramEnd"/>
      <w:r>
        <w:rPr>
          <w:szCs w:val="18"/>
          <w:lang w:val="en-US"/>
        </w:rPr>
        <w:t>.</w:t>
      </w:r>
    </w:p>
    <w:p w14:paraId="3EA64CDA" w14:textId="77777777" w:rsidR="00FE4B9E" w:rsidRDefault="00FE4B9E" w:rsidP="00FE4B9E">
      <w:pPr>
        <w:numPr>
          <w:ilvl w:val="1"/>
          <w:numId w:val="22"/>
        </w:numPr>
        <w:snapToGrid w:val="0"/>
        <w:spacing w:after="0"/>
        <w:rPr>
          <w:szCs w:val="16"/>
          <w:lang w:val="en-US"/>
        </w:rPr>
      </w:pPr>
      <w:r>
        <w:rPr>
          <w:rFonts w:eastAsia="DengXian"/>
          <w:szCs w:val="16"/>
          <w:lang w:val="en-US"/>
        </w:rPr>
        <w:t>Option 1a: No new capability except for FG44-2</w:t>
      </w:r>
    </w:p>
    <w:p w14:paraId="0CDF20BD" w14:textId="77777777" w:rsidR="00FE4B9E" w:rsidRDefault="00FE4B9E" w:rsidP="00FE4B9E">
      <w:pPr>
        <w:numPr>
          <w:ilvl w:val="2"/>
          <w:numId w:val="22"/>
        </w:numPr>
        <w:snapToGrid w:val="0"/>
        <w:spacing w:after="0"/>
        <w:rPr>
          <w:szCs w:val="16"/>
          <w:lang w:val="en-US"/>
        </w:rPr>
      </w:pPr>
      <w:r>
        <w:rPr>
          <w:rFonts w:eastAsia="DengXian"/>
          <w:szCs w:val="16"/>
          <w:lang w:val="en-US"/>
        </w:rPr>
        <w:t>Note: FG 30-4 is reported [in consideration of pre-compensation to keep phase rotation due to timing drift within the phase difference limit and without taking TA pre-compensation update into account]</w:t>
      </w:r>
    </w:p>
    <w:p w14:paraId="66F7A875"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1b: Max TDW size when pre-compensation to keep phase rotation due to timing drift within the phase difference limit is performed and without taking TA pre-compensation update into </w:t>
      </w:r>
      <w:proofErr w:type="gramStart"/>
      <w:r>
        <w:rPr>
          <w:rFonts w:eastAsia="DengXian"/>
          <w:szCs w:val="16"/>
          <w:lang w:val="en-US"/>
        </w:rPr>
        <w:t>account</w:t>
      </w:r>
      <w:proofErr w:type="gramEnd"/>
    </w:p>
    <w:p w14:paraId="46067A61" w14:textId="77777777" w:rsidR="00FE4B9E" w:rsidRDefault="00FE4B9E" w:rsidP="00FE4B9E">
      <w:pPr>
        <w:numPr>
          <w:ilvl w:val="2"/>
          <w:numId w:val="22"/>
        </w:numPr>
        <w:snapToGrid w:val="0"/>
        <w:spacing w:after="0"/>
        <w:rPr>
          <w:szCs w:val="16"/>
          <w:lang w:val="en-US"/>
        </w:rPr>
      </w:pPr>
      <w:r>
        <w:rPr>
          <w:rFonts w:eastAsia="DengXian"/>
          <w:szCs w:val="16"/>
          <w:lang w:val="en-US"/>
        </w:rPr>
        <w:t>Note: FG 30-4 is not reported for NTN band</w:t>
      </w:r>
    </w:p>
    <w:p w14:paraId="0191A7F8"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1c: Support of antenna switching with DMRS bundling in </w:t>
      </w:r>
      <w:proofErr w:type="gramStart"/>
      <w:r>
        <w:rPr>
          <w:rFonts w:eastAsia="DengXian"/>
          <w:szCs w:val="16"/>
          <w:lang w:val="en-US"/>
        </w:rPr>
        <w:t>NTN</w:t>
      </w:r>
      <w:proofErr w:type="gramEnd"/>
    </w:p>
    <w:p w14:paraId="4BE58892"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1d: Max TDW size per NTN platform (e.g., LEO, MEO, GEO) with taking TA pre-compensation update into </w:t>
      </w:r>
      <w:proofErr w:type="gramStart"/>
      <w:r>
        <w:rPr>
          <w:rFonts w:eastAsia="DengXian"/>
          <w:szCs w:val="16"/>
          <w:lang w:val="en-US"/>
        </w:rPr>
        <w:t>account</w:t>
      </w:r>
      <w:proofErr w:type="gramEnd"/>
    </w:p>
    <w:p w14:paraId="3FB51AB6" w14:textId="77777777" w:rsidR="00FE4B9E" w:rsidRDefault="00FE4B9E" w:rsidP="00FE4B9E">
      <w:pPr>
        <w:numPr>
          <w:ilvl w:val="2"/>
          <w:numId w:val="22"/>
        </w:numPr>
        <w:snapToGrid w:val="0"/>
        <w:spacing w:after="0"/>
        <w:rPr>
          <w:szCs w:val="16"/>
          <w:lang w:val="en-US"/>
        </w:rPr>
      </w:pPr>
      <w:r>
        <w:rPr>
          <w:rFonts w:eastAsia="DengXian"/>
          <w:szCs w:val="16"/>
          <w:lang w:val="en-US"/>
        </w:rPr>
        <w:t xml:space="preserve">FFS </w:t>
      </w:r>
      <w:proofErr w:type="gramStart"/>
      <w:r>
        <w:rPr>
          <w:rFonts w:eastAsia="DengXian"/>
          <w:szCs w:val="16"/>
          <w:lang w:val="en-US"/>
        </w:rPr>
        <w:t>details</w:t>
      </w:r>
      <w:proofErr w:type="gramEnd"/>
    </w:p>
    <w:p w14:paraId="21CE9CF9"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1e: Max TDW size per elevation angle with taking TA pre-compensation update into </w:t>
      </w:r>
      <w:proofErr w:type="gramStart"/>
      <w:r>
        <w:rPr>
          <w:rFonts w:eastAsia="DengXian"/>
          <w:szCs w:val="16"/>
          <w:lang w:val="en-US"/>
        </w:rPr>
        <w:t>account</w:t>
      </w:r>
      <w:proofErr w:type="gramEnd"/>
    </w:p>
    <w:p w14:paraId="0E68C2AB"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1f: Whether to support actual TDW across pre-compensation </w:t>
      </w:r>
      <w:proofErr w:type="gramStart"/>
      <w:r>
        <w:rPr>
          <w:rFonts w:eastAsia="DengXian"/>
          <w:szCs w:val="16"/>
          <w:lang w:val="en-US"/>
        </w:rPr>
        <w:t>segments</w:t>
      </w:r>
      <w:proofErr w:type="gramEnd"/>
    </w:p>
    <w:p w14:paraId="6400D52A" w14:textId="77777777" w:rsidR="00FE4B9E" w:rsidRDefault="00FE4B9E" w:rsidP="00FE4B9E">
      <w:pPr>
        <w:numPr>
          <w:ilvl w:val="2"/>
          <w:numId w:val="22"/>
        </w:numPr>
        <w:snapToGrid w:val="0"/>
        <w:spacing w:after="0"/>
        <w:rPr>
          <w:szCs w:val="16"/>
          <w:lang w:val="en-US"/>
        </w:rPr>
      </w:pPr>
      <w:r>
        <w:rPr>
          <w:rFonts w:eastAsia="DengXian"/>
          <w:szCs w:val="16"/>
          <w:lang w:val="en-US"/>
        </w:rPr>
        <w:t xml:space="preserve">Segments defined in R17 IoT-NTN is baseline, FFS </w:t>
      </w:r>
      <w:proofErr w:type="gramStart"/>
      <w:r>
        <w:rPr>
          <w:rFonts w:eastAsia="DengXian"/>
          <w:szCs w:val="16"/>
          <w:lang w:val="en-US"/>
        </w:rPr>
        <w:t>details</w:t>
      </w:r>
      <w:proofErr w:type="gramEnd"/>
    </w:p>
    <w:p w14:paraId="0EFE8B32"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1g: Whether to support TA pre-compensation update within an actual TDW that does not violate the phase difference </w:t>
      </w:r>
      <w:proofErr w:type="gramStart"/>
      <w:r>
        <w:rPr>
          <w:rFonts w:eastAsia="DengXian"/>
          <w:szCs w:val="16"/>
          <w:lang w:val="en-US"/>
        </w:rPr>
        <w:t>limit</w:t>
      </w:r>
      <w:proofErr w:type="gramEnd"/>
    </w:p>
    <w:p w14:paraId="562EB5F5" w14:textId="77777777" w:rsidR="00FE4B9E" w:rsidRDefault="00FE4B9E" w:rsidP="00FE4B9E">
      <w:pPr>
        <w:numPr>
          <w:ilvl w:val="0"/>
          <w:numId w:val="22"/>
        </w:numPr>
        <w:snapToGrid w:val="0"/>
        <w:spacing w:after="0"/>
        <w:ind w:left="720"/>
        <w:rPr>
          <w:szCs w:val="16"/>
          <w:lang w:val="en-US"/>
        </w:rPr>
      </w:pPr>
      <w:r>
        <w:rPr>
          <w:rFonts w:eastAsia="DengXian"/>
          <w:szCs w:val="16"/>
          <w:lang w:val="en-US"/>
        </w:rPr>
        <w:t xml:space="preserve">As UE assistance information (i.e., report by signaling other than UE capability report (FFS details)), </w:t>
      </w:r>
      <w:r>
        <w:rPr>
          <w:szCs w:val="18"/>
          <w:lang w:val="en-US"/>
        </w:rPr>
        <w:t xml:space="preserve">one or more of the following is </w:t>
      </w:r>
      <w:proofErr w:type="gramStart"/>
      <w:r>
        <w:rPr>
          <w:szCs w:val="18"/>
          <w:lang w:val="en-US"/>
        </w:rPr>
        <w:t>down-selected</w:t>
      </w:r>
      <w:proofErr w:type="gramEnd"/>
      <w:r>
        <w:rPr>
          <w:szCs w:val="18"/>
          <w:lang w:val="en-US"/>
        </w:rPr>
        <w:t>.</w:t>
      </w:r>
    </w:p>
    <w:p w14:paraId="59076C11" w14:textId="77777777" w:rsidR="00FE4B9E" w:rsidRDefault="00FE4B9E" w:rsidP="00FE4B9E">
      <w:pPr>
        <w:numPr>
          <w:ilvl w:val="1"/>
          <w:numId w:val="22"/>
        </w:numPr>
        <w:snapToGrid w:val="0"/>
        <w:spacing w:after="0"/>
        <w:rPr>
          <w:szCs w:val="16"/>
          <w:lang w:val="en-US"/>
        </w:rPr>
      </w:pPr>
      <w:r>
        <w:rPr>
          <w:rFonts w:eastAsia="DengXian"/>
          <w:szCs w:val="16"/>
          <w:lang w:val="en-US"/>
        </w:rPr>
        <w:t>Option 2a: No assistance information</w:t>
      </w:r>
    </w:p>
    <w:p w14:paraId="0CC9AFE1"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2b: Max TDW size based on reporting </w:t>
      </w:r>
      <w:proofErr w:type="gramStart"/>
      <w:r>
        <w:rPr>
          <w:rFonts w:eastAsia="DengXian"/>
          <w:szCs w:val="16"/>
          <w:lang w:val="en-US"/>
        </w:rPr>
        <w:t>timing</w:t>
      </w:r>
      <w:proofErr w:type="gramEnd"/>
    </w:p>
    <w:p w14:paraId="306D0D33" w14:textId="77777777" w:rsidR="00FE4B9E" w:rsidRDefault="00FE4B9E" w:rsidP="00FE4B9E">
      <w:pPr>
        <w:numPr>
          <w:ilvl w:val="2"/>
          <w:numId w:val="22"/>
        </w:numPr>
        <w:snapToGrid w:val="0"/>
        <w:spacing w:after="0"/>
        <w:rPr>
          <w:szCs w:val="16"/>
          <w:lang w:val="en-US"/>
        </w:rPr>
      </w:pPr>
      <w:r>
        <w:rPr>
          <w:rFonts w:eastAsia="DengXian"/>
          <w:szCs w:val="16"/>
          <w:lang w:val="en-US"/>
        </w:rPr>
        <w:t xml:space="preserve">FFS which timing is </w:t>
      </w:r>
      <w:proofErr w:type="gramStart"/>
      <w:r>
        <w:rPr>
          <w:rFonts w:eastAsia="DengXian"/>
          <w:szCs w:val="16"/>
          <w:lang w:val="en-US"/>
        </w:rPr>
        <w:t>referred</w:t>
      </w:r>
      <w:proofErr w:type="gramEnd"/>
    </w:p>
    <w:p w14:paraId="62A03BC9" w14:textId="77777777" w:rsidR="00FE4B9E" w:rsidRDefault="00FE4B9E" w:rsidP="00FE4B9E">
      <w:pPr>
        <w:numPr>
          <w:ilvl w:val="1"/>
          <w:numId w:val="22"/>
        </w:numPr>
        <w:snapToGrid w:val="0"/>
        <w:spacing w:after="0"/>
        <w:rPr>
          <w:szCs w:val="16"/>
          <w:lang w:val="en-US"/>
        </w:rPr>
      </w:pPr>
      <w:r>
        <w:rPr>
          <w:rFonts w:eastAsia="DengXian"/>
          <w:szCs w:val="16"/>
          <w:lang w:val="en-US"/>
        </w:rPr>
        <w:t>Option 2c: TA adjustment timing</w:t>
      </w:r>
    </w:p>
    <w:p w14:paraId="38227B31" w14:textId="77777777" w:rsidR="00FE4B9E" w:rsidRDefault="00FE4B9E" w:rsidP="00FE4B9E">
      <w:pPr>
        <w:numPr>
          <w:ilvl w:val="1"/>
          <w:numId w:val="22"/>
        </w:numPr>
        <w:snapToGrid w:val="0"/>
        <w:spacing w:after="0"/>
        <w:rPr>
          <w:szCs w:val="16"/>
          <w:lang w:val="en-US"/>
        </w:rPr>
      </w:pPr>
      <w:r>
        <w:rPr>
          <w:rFonts w:eastAsia="DengXian"/>
          <w:szCs w:val="16"/>
          <w:lang w:val="en-US"/>
        </w:rPr>
        <w:t xml:space="preserve">Option 2d: Antenna switching </w:t>
      </w:r>
      <w:proofErr w:type="gramStart"/>
      <w:r>
        <w:rPr>
          <w:rFonts w:eastAsia="DengXian"/>
          <w:szCs w:val="16"/>
          <w:lang w:val="en-US"/>
        </w:rPr>
        <w:t>interval</w:t>
      </w:r>
      <w:proofErr w:type="gramEnd"/>
    </w:p>
    <w:p w14:paraId="2CECDBB4" w14:textId="15B55066" w:rsidR="00306005" w:rsidRDefault="00306005" w:rsidP="00306005">
      <w:pPr>
        <w:tabs>
          <w:tab w:val="left" w:pos="532"/>
        </w:tabs>
        <w:rPr>
          <w:lang w:val="en-US" w:eastAsia="ja-JP"/>
        </w:rPr>
      </w:pPr>
      <w:r>
        <w:rPr>
          <w:lang w:val="en-US" w:eastAsia="ja-JP"/>
        </w:rPr>
        <w:tab/>
      </w:r>
    </w:p>
    <w:p w14:paraId="3652CA39" w14:textId="3A8087FC" w:rsidR="00306005" w:rsidRPr="00306005" w:rsidRDefault="00306005" w:rsidP="00306005">
      <w:pPr>
        <w:tabs>
          <w:tab w:val="left" w:pos="532"/>
        </w:tabs>
        <w:rPr>
          <w:b/>
          <w:bCs/>
          <w:lang w:val="en-US" w:eastAsia="ja-JP"/>
        </w:rPr>
      </w:pPr>
      <w:r w:rsidRPr="00306005">
        <w:rPr>
          <w:rFonts w:hint="eastAsia"/>
          <w:b/>
          <w:bCs/>
          <w:lang w:val="en-US" w:eastAsia="ja-JP"/>
        </w:rPr>
        <w:t>U</w:t>
      </w:r>
      <w:r w:rsidRPr="00306005">
        <w:rPr>
          <w:b/>
          <w:bCs/>
          <w:lang w:val="en-US" w:eastAsia="ja-JP"/>
        </w:rPr>
        <w:t xml:space="preserve">E capability </w:t>
      </w:r>
      <w:r>
        <w:rPr>
          <w:b/>
          <w:bCs/>
          <w:lang w:val="en-US" w:eastAsia="ja-JP"/>
        </w:rPr>
        <w:t>report</w:t>
      </w:r>
      <w:r w:rsidRPr="00306005">
        <w:rPr>
          <w:b/>
          <w:bCs/>
          <w:lang w:val="en-US" w:eastAsia="ja-JP"/>
        </w:rPr>
        <w:t xml:space="preserve"> </w:t>
      </w:r>
    </w:p>
    <w:p w14:paraId="3526B61E" w14:textId="6BEE3825" w:rsidR="004D1902" w:rsidRDefault="009F561A" w:rsidP="00170BEE">
      <w:pPr>
        <w:rPr>
          <w:lang w:val="en-US" w:eastAsia="ja-JP"/>
        </w:rPr>
      </w:pPr>
      <w:r>
        <w:rPr>
          <w:lang w:val="en-US" w:eastAsia="ja-JP"/>
        </w:rPr>
        <w:t xml:space="preserve">Regarding Option 1a, </w:t>
      </w:r>
      <w:r w:rsidRPr="009F561A">
        <w:rPr>
          <w:lang w:val="en-US" w:eastAsia="ja-JP"/>
        </w:rPr>
        <w:t xml:space="preserve">FG44-2 is capability of PUSCH DMRS bundling for NTN where the UE keeps phase rotation due to timing drift within the phase difference limit. In addition to FG44-2, max TDW based on Rel.18 is necessary because existing max TDW report does not consider phase rotation/TA pre-compensation aspects. </w:t>
      </w:r>
      <w:r w:rsidR="00A3054F">
        <w:rPr>
          <w:lang w:val="en-US" w:eastAsia="ja-JP"/>
        </w:rPr>
        <w:t xml:space="preserve">Therefore, either of Option 1b, 1d and 1e is necessary. </w:t>
      </w:r>
    </w:p>
    <w:p w14:paraId="39E6FC9E" w14:textId="1541EA1A" w:rsidR="009F561A" w:rsidRDefault="00F455AC" w:rsidP="00170BEE">
      <w:pPr>
        <w:rPr>
          <w:lang w:val="en-US" w:eastAsia="ja-JP"/>
        </w:rPr>
      </w:pPr>
      <w:r>
        <w:rPr>
          <w:lang w:val="en-US" w:eastAsia="ja-JP"/>
        </w:rPr>
        <w:t>On Option 1b, t</w:t>
      </w:r>
      <w:r w:rsidR="009F561A" w:rsidRPr="009F561A">
        <w:rPr>
          <w:lang w:val="en-US" w:eastAsia="ja-JP"/>
        </w:rPr>
        <w:t xml:space="preserve">his capability report provides information on the maximum TDW for the UE if the TA pre-compensation is not performed. This information is useful to determine the nominal TDW. Actual TDW may be determined based on additional UE assistance information and/or satellite location with taking UE’s TA pre-compensation update period into account, and dynamically indicated by </w:t>
      </w:r>
      <w:proofErr w:type="spellStart"/>
      <w:r w:rsidR="009F561A" w:rsidRPr="009F561A">
        <w:rPr>
          <w:lang w:val="en-US" w:eastAsia="ja-JP"/>
        </w:rPr>
        <w:t>gNB</w:t>
      </w:r>
      <w:proofErr w:type="spellEnd"/>
      <w:r w:rsidR="009F561A" w:rsidRPr="009F561A">
        <w:rPr>
          <w:lang w:val="en-US" w:eastAsia="ja-JP"/>
        </w:rPr>
        <w:t xml:space="preserve"> (as discussed in </w:t>
      </w:r>
      <w:r>
        <w:rPr>
          <w:lang w:val="en-US" w:eastAsia="ja-JP"/>
        </w:rPr>
        <w:t>section 3.1</w:t>
      </w:r>
      <w:r w:rsidR="009F561A" w:rsidRPr="009F561A">
        <w:rPr>
          <w:lang w:val="en-US" w:eastAsia="ja-JP"/>
        </w:rPr>
        <w:t>).</w:t>
      </w:r>
    </w:p>
    <w:p w14:paraId="0918AFBA" w14:textId="7157960C" w:rsidR="00F455AC" w:rsidRDefault="00F455AC" w:rsidP="00F455AC">
      <w:pPr>
        <w:rPr>
          <w:lang w:val="en-US" w:eastAsia="ja-JP"/>
        </w:rPr>
      </w:pPr>
      <w:r>
        <w:rPr>
          <w:lang w:val="en-US" w:eastAsia="ja-JP"/>
        </w:rPr>
        <w:t>On Option 1d and 1e, i</w:t>
      </w:r>
      <w:r w:rsidR="009F561A" w:rsidRPr="009F561A">
        <w:rPr>
          <w:lang w:val="en-US" w:eastAsia="ja-JP"/>
        </w:rPr>
        <w:t xml:space="preserve">t is not necessary nor preferable to reporting such details on the max TDW. </w:t>
      </w:r>
      <w:r>
        <w:rPr>
          <w:lang w:val="en-US" w:eastAsia="ja-JP"/>
        </w:rPr>
        <w:t>If necessary, such information should be provided by the assistance information based on the current operation (</w:t>
      </w:r>
      <w:proofErr w:type="gramStart"/>
      <w:r>
        <w:rPr>
          <w:lang w:val="en-US" w:eastAsia="ja-JP"/>
        </w:rPr>
        <w:t>e.g.</w:t>
      </w:r>
      <w:proofErr w:type="gramEnd"/>
      <w:r>
        <w:rPr>
          <w:lang w:val="en-US" w:eastAsia="ja-JP"/>
        </w:rPr>
        <w:t xml:space="preserve"> satellite altitude, elevation angle), as discussed below. </w:t>
      </w:r>
    </w:p>
    <w:p w14:paraId="1FC0C584" w14:textId="6475E633" w:rsidR="009F561A" w:rsidRDefault="00F455AC" w:rsidP="00170BEE">
      <w:pPr>
        <w:rPr>
          <w:lang w:val="en-US" w:eastAsia="ja-JP"/>
        </w:rPr>
      </w:pPr>
      <w:r>
        <w:rPr>
          <w:rFonts w:hint="eastAsia"/>
          <w:lang w:val="en-US" w:eastAsia="ja-JP"/>
        </w:rPr>
        <w:t>R</w:t>
      </w:r>
      <w:r>
        <w:rPr>
          <w:lang w:val="en-US" w:eastAsia="ja-JP"/>
        </w:rPr>
        <w:t>egarding Option 1c, as mentioned in section 3.1, a</w:t>
      </w:r>
      <w:r w:rsidR="009F561A" w:rsidRPr="009F561A">
        <w:rPr>
          <w:lang w:val="en-US" w:eastAsia="ja-JP"/>
        </w:rPr>
        <w:t>ntenna switching aspect should be separately discussed including TN.</w:t>
      </w:r>
    </w:p>
    <w:p w14:paraId="058896D2" w14:textId="2CE169FA" w:rsidR="00F455AC" w:rsidRPr="00F455AC" w:rsidRDefault="00F455AC" w:rsidP="00170BEE">
      <w:pPr>
        <w:rPr>
          <w:lang w:val="en-US" w:eastAsia="ja-JP"/>
        </w:rPr>
      </w:pPr>
      <w:r>
        <w:rPr>
          <w:rFonts w:hint="eastAsia"/>
          <w:lang w:val="en-US" w:eastAsia="ja-JP"/>
        </w:rPr>
        <w:t>R</w:t>
      </w:r>
      <w:r>
        <w:rPr>
          <w:lang w:val="en-US" w:eastAsia="ja-JP"/>
        </w:rPr>
        <w:t xml:space="preserve">egarding Option 1f and 1g, although “pre-compensation segment” is not clearly defined, </w:t>
      </w:r>
      <w:r w:rsidRPr="00F455AC">
        <w:rPr>
          <w:lang w:val="en-US" w:eastAsia="ja-JP"/>
        </w:rPr>
        <w:t>our understanding</w:t>
      </w:r>
      <w:r>
        <w:rPr>
          <w:lang w:val="en-US" w:eastAsia="ja-JP"/>
        </w:rPr>
        <w:t xml:space="preserve"> is that </w:t>
      </w:r>
      <w:r w:rsidRPr="00F455AC">
        <w:rPr>
          <w:lang w:val="en-US" w:eastAsia="ja-JP"/>
        </w:rPr>
        <w:t xml:space="preserve">both options indicates whether UE supports TA pre-compensation update within actual TDW without violating the phase continuity requirement. This may be useful to allow </w:t>
      </w:r>
      <w:proofErr w:type="spellStart"/>
      <w:r w:rsidRPr="00F455AC">
        <w:rPr>
          <w:lang w:val="en-US" w:eastAsia="ja-JP"/>
        </w:rPr>
        <w:t>gNB</w:t>
      </w:r>
      <w:proofErr w:type="spellEnd"/>
      <w:r w:rsidRPr="00F455AC">
        <w:rPr>
          <w:lang w:val="en-US" w:eastAsia="ja-JP"/>
        </w:rPr>
        <w:t xml:space="preserve"> to determine the TDW. </w:t>
      </w:r>
      <w:r w:rsidR="00306005">
        <w:rPr>
          <w:lang w:val="en-US" w:eastAsia="ja-JP"/>
        </w:rPr>
        <w:t>However, i</w:t>
      </w:r>
      <w:r w:rsidRPr="00F455AC">
        <w:rPr>
          <w:lang w:val="en-US" w:eastAsia="ja-JP"/>
        </w:rPr>
        <w:t>f the assistance information (discuss later) is supported, this capability report is not needed because this aspect can be considered in the TDW reported as the assistance information.</w:t>
      </w:r>
    </w:p>
    <w:p w14:paraId="60C26D37" w14:textId="77777777" w:rsidR="008C7D5F" w:rsidRDefault="008C7D5F" w:rsidP="002A3DD4">
      <w:pPr>
        <w:rPr>
          <w:lang w:val="en-US" w:eastAsia="ja-JP"/>
        </w:rPr>
      </w:pPr>
    </w:p>
    <w:p w14:paraId="6F0AB163" w14:textId="6424074E" w:rsidR="00306005" w:rsidRPr="00306005" w:rsidRDefault="00306005" w:rsidP="002A3DD4">
      <w:pPr>
        <w:rPr>
          <w:b/>
          <w:bCs/>
          <w:lang w:val="en-US" w:eastAsia="ja-JP"/>
        </w:rPr>
      </w:pPr>
      <w:r w:rsidRPr="00306005">
        <w:rPr>
          <w:rFonts w:hint="eastAsia"/>
          <w:b/>
          <w:bCs/>
          <w:lang w:val="en-US" w:eastAsia="ja-JP"/>
        </w:rPr>
        <w:lastRenderedPageBreak/>
        <w:t>P</w:t>
      </w:r>
      <w:r w:rsidRPr="00306005">
        <w:rPr>
          <w:b/>
          <w:bCs/>
          <w:lang w:val="en-US" w:eastAsia="ja-JP"/>
        </w:rPr>
        <w:t xml:space="preserve">roposal 6: </w:t>
      </w:r>
      <w:r w:rsidR="0069786A">
        <w:rPr>
          <w:b/>
          <w:bCs/>
          <w:lang w:val="en-US" w:eastAsia="ja-JP"/>
        </w:rPr>
        <w:t xml:space="preserve">UE </w:t>
      </w:r>
      <w:r w:rsidRPr="00306005">
        <w:rPr>
          <w:b/>
          <w:bCs/>
          <w:lang w:val="en-US" w:eastAsia="ja-JP"/>
        </w:rPr>
        <w:t>report</w:t>
      </w:r>
      <w:r w:rsidR="0069786A">
        <w:rPr>
          <w:b/>
          <w:bCs/>
          <w:lang w:val="en-US" w:eastAsia="ja-JP"/>
        </w:rPr>
        <w:t>s</w:t>
      </w:r>
      <w:r w:rsidRPr="00306005">
        <w:rPr>
          <w:b/>
          <w:bCs/>
          <w:lang w:val="en-US" w:eastAsia="ja-JP"/>
        </w:rPr>
        <w:t xml:space="preserve"> </w:t>
      </w:r>
      <w:r w:rsidR="0069786A">
        <w:rPr>
          <w:b/>
          <w:bCs/>
          <w:lang w:val="en-US" w:eastAsia="ja-JP"/>
        </w:rPr>
        <w:t xml:space="preserve">capability of </w:t>
      </w:r>
      <w:r w:rsidRPr="00306005">
        <w:rPr>
          <w:b/>
          <w:bCs/>
          <w:lang w:val="en-US" w:eastAsia="ja-JP"/>
        </w:rPr>
        <w:t>m</w:t>
      </w:r>
      <w:r w:rsidRPr="00306005">
        <w:rPr>
          <w:rFonts w:eastAsia="DengXian"/>
          <w:b/>
          <w:bCs/>
          <w:szCs w:val="16"/>
          <w:lang w:val="en-US"/>
        </w:rPr>
        <w:t>ax TDW size when pre-compensation to keep phase rotation due to timing drift within the phase difference limit is performed and without taking TA pre-compensation update into account (Option 1b)</w:t>
      </w:r>
    </w:p>
    <w:p w14:paraId="13179003" w14:textId="77777777" w:rsidR="00306005" w:rsidRDefault="00306005" w:rsidP="002A3DD4">
      <w:pPr>
        <w:rPr>
          <w:lang w:val="en-US" w:eastAsia="ja-JP"/>
        </w:rPr>
      </w:pPr>
    </w:p>
    <w:p w14:paraId="34EF8ABB" w14:textId="7508E089" w:rsidR="00306005" w:rsidRPr="00306005" w:rsidRDefault="00306005" w:rsidP="002A3DD4">
      <w:pPr>
        <w:rPr>
          <w:b/>
          <w:bCs/>
          <w:lang w:val="en-US" w:eastAsia="ja-JP"/>
        </w:rPr>
      </w:pPr>
      <w:r>
        <w:rPr>
          <w:b/>
          <w:bCs/>
          <w:lang w:val="en-US" w:eastAsia="ja-JP"/>
        </w:rPr>
        <w:t>UE a</w:t>
      </w:r>
      <w:r w:rsidRPr="00306005">
        <w:rPr>
          <w:b/>
          <w:bCs/>
          <w:lang w:val="en-US" w:eastAsia="ja-JP"/>
        </w:rPr>
        <w:t xml:space="preserve">ssistance information </w:t>
      </w:r>
    </w:p>
    <w:p w14:paraId="1E741EDB" w14:textId="77777777" w:rsidR="00306005" w:rsidRPr="00306005" w:rsidRDefault="00306005" w:rsidP="00306005">
      <w:pPr>
        <w:rPr>
          <w:lang w:val="en-US" w:eastAsia="ja-JP"/>
        </w:rPr>
      </w:pPr>
      <w:proofErr w:type="spellStart"/>
      <w:r w:rsidRPr="00306005">
        <w:rPr>
          <w:lang w:val="en-US" w:eastAsia="ja-JP"/>
        </w:rPr>
        <w:t>gNB</w:t>
      </w:r>
      <w:proofErr w:type="spellEnd"/>
      <w:r w:rsidRPr="00306005">
        <w:rPr>
          <w:lang w:val="en-US" w:eastAsia="ja-JP"/>
        </w:rPr>
        <w:t xml:space="preserve"> does not know the necessary update interval of each UE’s TA pre-compensation. Therefore, assistance information Option 2b or 2c would be helpful to determine the nominal/actual TDW by </w:t>
      </w:r>
      <w:proofErr w:type="spellStart"/>
      <w:r w:rsidRPr="00306005">
        <w:rPr>
          <w:lang w:val="en-US" w:eastAsia="ja-JP"/>
        </w:rPr>
        <w:t>gNB</w:t>
      </w:r>
      <w:proofErr w:type="spellEnd"/>
      <w:r w:rsidRPr="00306005">
        <w:rPr>
          <w:lang w:val="en-US" w:eastAsia="ja-JP"/>
        </w:rPr>
        <w:t xml:space="preserve">.  </w:t>
      </w:r>
    </w:p>
    <w:p w14:paraId="4F93EEF2" w14:textId="74AE8539" w:rsidR="00306005" w:rsidRPr="00306005" w:rsidRDefault="00306005" w:rsidP="00306005">
      <w:pPr>
        <w:rPr>
          <w:lang w:val="en-US" w:eastAsia="ja-JP"/>
        </w:rPr>
      </w:pPr>
      <w:r w:rsidRPr="00306005">
        <w:rPr>
          <w:lang w:val="en-US" w:eastAsia="ja-JP"/>
        </w:rPr>
        <w:t>Option 2b would be more preferable because option 2b can consider any aspects</w:t>
      </w:r>
      <w:r>
        <w:rPr>
          <w:lang w:val="en-US" w:eastAsia="ja-JP"/>
        </w:rPr>
        <w:t xml:space="preserve"> for max TDW (</w:t>
      </w:r>
      <w:proofErr w:type="gramStart"/>
      <w:r>
        <w:rPr>
          <w:lang w:val="en-US" w:eastAsia="ja-JP"/>
        </w:rPr>
        <w:t>i.e.</w:t>
      </w:r>
      <w:proofErr w:type="gramEnd"/>
      <w:r>
        <w:rPr>
          <w:lang w:val="en-US" w:eastAsia="ja-JP"/>
        </w:rPr>
        <w:t xml:space="preserve"> </w:t>
      </w:r>
      <w:r w:rsidRPr="00306005">
        <w:rPr>
          <w:lang w:val="en-US" w:eastAsia="ja-JP"/>
        </w:rPr>
        <w:t>not only TA pre-compensation timing</w:t>
      </w:r>
      <w:r>
        <w:rPr>
          <w:lang w:val="en-US" w:eastAsia="ja-JP"/>
        </w:rPr>
        <w:t>)</w:t>
      </w:r>
      <w:r w:rsidRPr="00306005">
        <w:rPr>
          <w:lang w:val="en-US" w:eastAsia="ja-JP"/>
        </w:rPr>
        <w:t>.</w:t>
      </w:r>
    </w:p>
    <w:p w14:paraId="53BD8178" w14:textId="6013B290" w:rsidR="00124518" w:rsidRPr="00306005" w:rsidRDefault="00306005" w:rsidP="002A3DD4">
      <w:pPr>
        <w:rPr>
          <w:b/>
          <w:bCs/>
          <w:lang w:val="en-US" w:eastAsia="ja-JP"/>
        </w:rPr>
      </w:pPr>
      <w:r w:rsidRPr="00306005">
        <w:rPr>
          <w:rFonts w:hint="eastAsia"/>
          <w:b/>
          <w:bCs/>
          <w:lang w:val="en-US" w:eastAsia="ja-JP"/>
        </w:rPr>
        <w:t>P</w:t>
      </w:r>
      <w:r w:rsidRPr="00306005">
        <w:rPr>
          <w:b/>
          <w:bCs/>
          <w:lang w:val="en-US" w:eastAsia="ja-JP"/>
        </w:rPr>
        <w:t>roposal</w:t>
      </w:r>
      <w:r>
        <w:rPr>
          <w:b/>
          <w:bCs/>
          <w:lang w:val="en-US" w:eastAsia="ja-JP"/>
        </w:rPr>
        <w:t xml:space="preserve"> 7</w:t>
      </w:r>
      <w:r w:rsidRPr="00306005">
        <w:rPr>
          <w:b/>
          <w:bCs/>
          <w:lang w:val="en-US" w:eastAsia="ja-JP"/>
        </w:rPr>
        <w:t xml:space="preserve">: </w:t>
      </w:r>
      <w:r w:rsidR="0069786A">
        <w:rPr>
          <w:b/>
          <w:bCs/>
          <w:lang w:val="en-US" w:eastAsia="ja-JP"/>
        </w:rPr>
        <w:t xml:space="preserve">UE </w:t>
      </w:r>
      <w:r w:rsidRPr="00306005">
        <w:rPr>
          <w:b/>
          <w:bCs/>
          <w:lang w:val="en-US" w:eastAsia="ja-JP"/>
        </w:rPr>
        <w:t>report</w:t>
      </w:r>
      <w:r w:rsidR="0069786A">
        <w:rPr>
          <w:b/>
          <w:bCs/>
          <w:lang w:val="en-US" w:eastAsia="ja-JP"/>
        </w:rPr>
        <w:t>s</w:t>
      </w:r>
      <w:r w:rsidRPr="00306005">
        <w:rPr>
          <w:b/>
          <w:bCs/>
          <w:lang w:val="en-US" w:eastAsia="ja-JP"/>
        </w:rPr>
        <w:t xml:space="preserve"> </w:t>
      </w:r>
      <w:r w:rsidRPr="00306005">
        <w:rPr>
          <w:rFonts w:eastAsia="DengXian"/>
          <w:b/>
          <w:bCs/>
          <w:szCs w:val="16"/>
          <w:lang w:val="en-US"/>
        </w:rPr>
        <w:t>max TDW size based on reporting timing</w:t>
      </w:r>
      <w:r w:rsidR="0069786A">
        <w:rPr>
          <w:rFonts w:eastAsia="DengXian"/>
          <w:b/>
          <w:bCs/>
          <w:szCs w:val="16"/>
          <w:lang w:val="en-US"/>
        </w:rPr>
        <w:t xml:space="preserve"> as an assistance information</w:t>
      </w:r>
      <w:r w:rsidRPr="00306005">
        <w:rPr>
          <w:rFonts w:eastAsia="DengXian"/>
          <w:b/>
          <w:bCs/>
          <w:szCs w:val="16"/>
          <w:lang w:val="en-US"/>
        </w:rPr>
        <w:t xml:space="preserve"> (Option 2b)</w:t>
      </w:r>
    </w:p>
    <w:p w14:paraId="4234A3B0" w14:textId="77777777" w:rsidR="00AF62BF" w:rsidRPr="001E04EC" w:rsidRDefault="00AF62BF" w:rsidP="00501F6B">
      <w:pPr>
        <w:tabs>
          <w:tab w:val="num" w:pos="1440"/>
        </w:tabs>
        <w:rPr>
          <w:lang w:val="en-US" w:eastAsia="ja-JP"/>
        </w:rPr>
      </w:pPr>
    </w:p>
    <w:p w14:paraId="63220F26" w14:textId="2B10647B" w:rsidR="006471B2" w:rsidRDefault="006471B2" w:rsidP="006471B2">
      <w:pPr>
        <w:pStyle w:val="1"/>
        <w:ind w:left="632" w:right="200"/>
        <w:rPr>
          <w:lang w:val="en-US" w:eastAsia="ja-JP"/>
        </w:rPr>
      </w:pPr>
      <w:r>
        <w:rPr>
          <w:lang w:eastAsia="ja-JP"/>
        </w:rPr>
        <w:t>Conclusion</w:t>
      </w:r>
      <w:r>
        <w:rPr>
          <w:lang w:val="en-US" w:eastAsia="ja-JP"/>
        </w:rPr>
        <w:t xml:space="preserve"> </w:t>
      </w:r>
    </w:p>
    <w:p w14:paraId="5510ADAB" w14:textId="7E01CBF2" w:rsidR="00C020D1" w:rsidRDefault="006471B2" w:rsidP="00C020D1">
      <w:pPr>
        <w:autoSpaceDE w:val="0"/>
        <w:autoSpaceDN w:val="0"/>
        <w:adjustRightInd w:val="0"/>
        <w:snapToGrid w:val="0"/>
        <w:spacing w:beforeLines="30" w:before="72" w:line="60" w:lineRule="atLeast"/>
        <w:rPr>
          <w:lang w:val="nl-NL" w:eastAsia="ja-JP"/>
        </w:rPr>
      </w:pPr>
      <w:r>
        <w:rPr>
          <w:rFonts w:hint="eastAsia"/>
          <w:lang w:val="nl-NL" w:eastAsia="ja-JP"/>
        </w:rPr>
        <w:t>W</w:t>
      </w:r>
      <w:r>
        <w:rPr>
          <w:lang w:val="nl-NL" w:eastAsia="ja-JP"/>
        </w:rPr>
        <w:t xml:space="preserve">e discussed issues on coverage enhancement for NR-NTN. The following proposals on PUCCH for Msg.4 HARQ-ACK and on DMRS bundling for PUSCH are made. </w:t>
      </w:r>
    </w:p>
    <w:p w14:paraId="25FA0D02" w14:textId="6722EB25" w:rsidR="00C020D1" w:rsidRPr="00C020D1" w:rsidRDefault="00C020D1" w:rsidP="00C020D1">
      <w:pPr>
        <w:autoSpaceDE w:val="0"/>
        <w:autoSpaceDN w:val="0"/>
        <w:adjustRightInd w:val="0"/>
        <w:snapToGrid w:val="0"/>
        <w:spacing w:beforeLines="30" w:before="72" w:line="60" w:lineRule="atLeast"/>
        <w:rPr>
          <w:b/>
          <w:bCs/>
          <w:u w:val="single"/>
          <w:lang w:val="nl-NL" w:eastAsia="ja-JP"/>
        </w:rPr>
      </w:pPr>
      <w:r w:rsidRPr="00C020D1">
        <w:rPr>
          <w:rFonts w:hint="eastAsia"/>
          <w:b/>
          <w:bCs/>
          <w:u w:val="single"/>
          <w:lang w:val="nl-NL" w:eastAsia="ja-JP"/>
        </w:rPr>
        <w:t>M</w:t>
      </w:r>
      <w:r w:rsidRPr="00C020D1">
        <w:rPr>
          <w:b/>
          <w:bCs/>
          <w:u w:val="single"/>
          <w:lang w:val="nl-NL" w:eastAsia="ja-JP"/>
        </w:rPr>
        <w:t>sg4 PUCCH repetition</w:t>
      </w:r>
    </w:p>
    <w:p w14:paraId="41323D37" w14:textId="77777777" w:rsidR="0069786A" w:rsidRDefault="0069786A" w:rsidP="0069786A">
      <w:pPr>
        <w:rPr>
          <w:b/>
          <w:bCs/>
          <w:lang w:eastAsia="ja-JP"/>
        </w:rPr>
      </w:pPr>
      <w:r>
        <w:rPr>
          <w:rFonts w:hint="eastAsia"/>
          <w:b/>
          <w:bCs/>
          <w:lang w:eastAsia="ja-JP"/>
        </w:rPr>
        <w:t>P</w:t>
      </w:r>
      <w:r>
        <w:rPr>
          <w:b/>
          <w:bCs/>
          <w:lang w:eastAsia="ja-JP"/>
        </w:rPr>
        <w:t>roposal 1: Confirm the working assumption on the RSRP threshold.</w:t>
      </w:r>
    </w:p>
    <w:p w14:paraId="3F63307C" w14:textId="77777777" w:rsidR="0069786A" w:rsidRDefault="0069786A" w:rsidP="0069786A">
      <w:pPr>
        <w:rPr>
          <w:b/>
          <w:bCs/>
          <w:lang w:eastAsia="ja-JP"/>
        </w:rPr>
      </w:pPr>
      <w:r w:rsidRPr="00F65CE1">
        <w:rPr>
          <w:b/>
          <w:bCs/>
          <w:lang w:eastAsia="ja-JP"/>
        </w:rPr>
        <w:t>Proposal</w:t>
      </w:r>
      <w:r>
        <w:rPr>
          <w:b/>
          <w:bCs/>
          <w:lang w:eastAsia="ja-JP"/>
        </w:rPr>
        <w:t xml:space="preserve"> 2</w:t>
      </w:r>
      <w:r w:rsidRPr="00F65CE1">
        <w:rPr>
          <w:b/>
          <w:bCs/>
          <w:lang w:eastAsia="ja-JP"/>
        </w:rPr>
        <w:t>: RSRP threshold</w:t>
      </w:r>
      <w:r w:rsidRPr="00EE60FB">
        <w:rPr>
          <w:b/>
          <w:bCs/>
          <w:lang w:eastAsia="ja-JP"/>
        </w:rPr>
        <w:t xml:space="preserve"> </w:t>
      </w:r>
      <w:r w:rsidRPr="00F65CE1">
        <w:rPr>
          <w:b/>
          <w:bCs/>
          <w:lang w:eastAsia="ja-JP"/>
        </w:rPr>
        <w:t>for Msg4 PUCCH repetition should be introduced</w:t>
      </w:r>
      <w:r>
        <w:rPr>
          <w:b/>
          <w:bCs/>
          <w:lang w:eastAsia="ja-JP"/>
        </w:rPr>
        <w:t>.</w:t>
      </w:r>
    </w:p>
    <w:p w14:paraId="5B47E627" w14:textId="77777777" w:rsidR="0069786A" w:rsidRPr="00EE60FB" w:rsidRDefault="0069786A" w:rsidP="0069786A">
      <w:pPr>
        <w:rPr>
          <w:b/>
          <w:bCs/>
          <w:lang w:eastAsia="ja-JP"/>
        </w:rPr>
      </w:pPr>
      <w:r w:rsidRPr="00EE60FB">
        <w:rPr>
          <w:rFonts w:hint="eastAsia"/>
          <w:b/>
          <w:bCs/>
          <w:lang w:eastAsia="ja-JP"/>
        </w:rPr>
        <w:t>P</w:t>
      </w:r>
      <w:r w:rsidRPr="00EE60FB">
        <w:rPr>
          <w:b/>
          <w:bCs/>
          <w:lang w:eastAsia="ja-JP"/>
        </w:rPr>
        <w:t>roposal 3: RSRP threshold for Msg4 PUCCH repetition is configured as an offset</w:t>
      </w:r>
      <w:r>
        <w:rPr>
          <w:b/>
          <w:bCs/>
          <w:lang w:eastAsia="ja-JP"/>
        </w:rPr>
        <w:t xml:space="preserve"> with range 0-15 dB</w:t>
      </w:r>
      <w:r w:rsidRPr="00EE60FB">
        <w:rPr>
          <w:b/>
          <w:bCs/>
          <w:lang w:eastAsia="ja-JP"/>
        </w:rPr>
        <w:t xml:space="preserve"> to the RSRP threshold for Msg3 PUSCH repetition. If the offset is zero or not configured, UE supporting Msg4 PUCCH repetition uses the same threshold as Msg3 PUSCH repetition. </w:t>
      </w:r>
    </w:p>
    <w:p w14:paraId="0B43D206" w14:textId="77777777" w:rsidR="0069786A" w:rsidRDefault="0069786A" w:rsidP="0069786A">
      <w:pPr>
        <w:rPr>
          <w:b/>
          <w:bCs/>
          <w:lang w:eastAsia="ja-JP"/>
        </w:rPr>
      </w:pPr>
      <w:r w:rsidRPr="00081DD5">
        <w:rPr>
          <w:b/>
          <w:bCs/>
          <w:lang w:eastAsia="ja-JP"/>
        </w:rPr>
        <w:t xml:space="preserve">Proposal </w:t>
      </w:r>
      <w:r>
        <w:rPr>
          <w:b/>
          <w:bCs/>
          <w:lang w:eastAsia="ja-JP"/>
        </w:rPr>
        <w:t>4</w:t>
      </w:r>
      <w:r w:rsidRPr="00081DD5">
        <w:rPr>
          <w:b/>
          <w:bCs/>
          <w:lang w:eastAsia="ja-JP"/>
        </w:rPr>
        <w:t xml:space="preserve">: </w:t>
      </w:r>
      <w:r>
        <w:rPr>
          <w:b/>
          <w:bCs/>
          <w:lang w:eastAsia="ja-JP"/>
        </w:rPr>
        <w:t xml:space="preserve">Allow to separately configure PUCCH resources depending on the repetition factor. </w:t>
      </w:r>
    </w:p>
    <w:p w14:paraId="7E1A97A3" w14:textId="77777777" w:rsidR="00C020D1" w:rsidRPr="0069786A" w:rsidRDefault="00C020D1" w:rsidP="006471B2">
      <w:pPr>
        <w:rPr>
          <w:b/>
          <w:bCs/>
          <w:lang w:eastAsia="ja-JP"/>
        </w:rPr>
      </w:pPr>
    </w:p>
    <w:p w14:paraId="654D0588" w14:textId="2A93AB2D" w:rsidR="00C020D1" w:rsidRPr="00C020D1" w:rsidRDefault="00C020D1" w:rsidP="006471B2">
      <w:pPr>
        <w:rPr>
          <w:b/>
          <w:bCs/>
          <w:u w:val="single"/>
          <w:lang w:eastAsia="ja-JP"/>
        </w:rPr>
      </w:pPr>
      <w:r w:rsidRPr="00C020D1">
        <w:rPr>
          <w:b/>
          <w:bCs/>
          <w:u w:val="single"/>
          <w:lang w:eastAsia="ja-JP"/>
        </w:rPr>
        <w:t xml:space="preserve">PUSCH </w:t>
      </w:r>
      <w:r w:rsidRPr="00C020D1">
        <w:rPr>
          <w:rFonts w:hint="eastAsia"/>
          <w:b/>
          <w:bCs/>
          <w:u w:val="single"/>
          <w:lang w:eastAsia="ja-JP"/>
        </w:rPr>
        <w:t>D</w:t>
      </w:r>
      <w:r w:rsidRPr="00C020D1">
        <w:rPr>
          <w:b/>
          <w:bCs/>
          <w:u w:val="single"/>
          <w:lang w:eastAsia="ja-JP"/>
        </w:rPr>
        <w:t>MRS bundling</w:t>
      </w:r>
    </w:p>
    <w:p w14:paraId="69308C2D" w14:textId="32C1910C" w:rsidR="0069786A" w:rsidRPr="0069786A" w:rsidRDefault="0069786A" w:rsidP="006471B2">
      <w:pPr>
        <w:rPr>
          <w:rFonts w:eastAsiaTheme="minorEastAsia"/>
          <w:b/>
          <w:bCs/>
          <w:lang w:eastAsia="ja-JP"/>
        </w:rPr>
      </w:pPr>
      <w:r w:rsidRPr="00073967">
        <w:rPr>
          <w:rFonts w:eastAsiaTheme="minorEastAsia" w:hint="eastAsia"/>
          <w:b/>
          <w:bCs/>
          <w:lang w:eastAsia="ja-JP"/>
        </w:rPr>
        <w:t>P</w:t>
      </w:r>
      <w:r w:rsidRPr="00073967">
        <w:rPr>
          <w:rFonts w:eastAsiaTheme="minorEastAsia"/>
          <w:b/>
          <w:bCs/>
          <w:lang w:eastAsia="ja-JP"/>
        </w:rPr>
        <w:t xml:space="preserve">roposal 5: </w:t>
      </w:r>
      <w:r>
        <w:rPr>
          <w:rFonts w:eastAsiaTheme="minorEastAsia"/>
          <w:b/>
          <w:bCs/>
          <w:lang w:eastAsia="ja-JP"/>
        </w:rPr>
        <w:t>Support a</w:t>
      </w:r>
      <w:r w:rsidRPr="00073967">
        <w:rPr>
          <w:rFonts w:eastAsiaTheme="minorEastAsia"/>
          <w:b/>
          <w:bCs/>
          <w:lang w:eastAsia="ja-JP"/>
        </w:rPr>
        <w:t>ctual TDW indicat</w:t>
      </w:r>
      <w:r>
        <w:rPr>
          <w:rFonts w:eastAsiaTheme="minorEastAsia"/>
          <w:b/>
          <w:bCs/>
          <w:lang w:eastAsia="ja-JP"/>
        </w:rPr>
        <w:t>ion</w:t>
      </w:r>
      <w:r w:rsidRPr="00073967">
        <w:rPr>
          <w:rFonts w:eastAsiaTheme="minorEastAsia"/>
          <w:b/>
          <w:bCs/>
          <w:lang w:eastAsia="ja-JP"/>
        </w:rPr>
        <w:t xml:space="preserve"> by </w:t>
      </w:r>
      <w:proofErr w:type="spellStart"/>
      <w:r w:rsidRPr="00073967">
        <w:rPr>
          <w:rFonts w:eastAsiaTheme="minorEastAsia"/>
          <w:b/>
          <w:bCs/>
          <w:lang w:eastAsia="ja-JP"/>
        </w:rPr>
        <w:t>gNB</w:t>
      </w:r>
      <w:proofErr w:type="spellEnd"/>
      <w:r w:rsidRPr="00073967">
        <w:rPr>
          <w:rFonts w:eastAsiaTheme="minorEastAsia"/>
          <w:b/>
          <w:bCs/>
          <w:lang w:eastAsia="ja-JP"/>
        </w:rPr>
        <w:t xml:space="preserve"> via MAC CE</w:t>
      </w:r>
      <w:r>
        <w:rPr>
          <w:rFonts w:eastAsiaTheme="minorEastAsia"/>
          <w:b/>
          <w:bCs/>
          <w:lang w:eastAsia="ja-JP"/>
        </w:rPr>
        <w:t>.</w:t>
      </w:r>
    </w:p>
    <w:p w14:paraId="41348118" w14:textId="2A2504A9" w:rsidR="00C020D1" w:rsidRPr="0069786A" w:rsidRDefault="0069786A" w:rsidP="006471B2">
      <w:pPr>
        <w:rPr>
          <w:lang w:val="en-US" w:eastAsia="ja-JP"/>
        </w:rPr>
      </w:pPr>
      <w:r w:rsidRPr="00306005">
        <w:rPr>
          <w:rFonts w:hint="eastAsia"/>
          <w:b/>
          <w:bCs/>
          <w:lang w:val="en-US" w:eastAsia="ja-JP"/>
        </w:rPr>
        <w:t>P</w:t>
      </w:r>
      <w:r w:rsidRPr="00306005">
        <w:rPr>
          <w:b/>
          <w:bCs/>
          <w:lang w:val="en-US" w:eastAsia="ja-JP"/>
        </w:rPr>
        <w:t xml:space="preserve">roposal 6: </w:t>
      </w:r>
      <w:r>
        <w:rPr>
          <w:b/>
          <w:bCs/>
          <w:lang w:val="en-US" w:eastAsia="ja-JP"/>
        </w:rPr>
        <w:t xml:space="preserve">UE </w:t>
      </w:r>
      <w:r w:rsidRPr="00306005">
        <w:rPr>
          <w:b/>
          <w:bCs/>
          <w:lang w:val="en-US" w:eastAsia="ja-JP"/>
        </w:rPr>
        <w:t>report</w:t>
      </w:r>
      <w:r>
        <w:rPr>
          <w:b/>
          <w:bCs/>
          <w:lang w:val="en-US" w:eastAsia="ja-JP"/>
        </w:rPr>
        <w:t>s</w:t>
      </w:r>
      <w:r w:rsidRPr="00306005">
        <w:rPr>
          <w:b/>
          <w:bCs/>
          <w:lang w:val="en-US" w:eastAsia="ja-JP"/>
        </w:rPr>
        <w:t xml:space="preserve"> </w:t>
      </w:r>
      <w:r>
        <w:rPr>
          <w:b/>
          <w:bCs/>
          <w:lang w:val="en-US" w:eastAsia="ja-JP"/>
        </w:rPr>
        <w:t xml:space="preserve">capability of </w:t>
      </w:r>
      <w:r w:rsidRPr="00306005">
        <w:rPr>
          <w:b/>
          <w:bCs/>
          <w:lang w:val="en-US" w:eastAsia="ja-JP"/>
        </w:rPr>
        <w:t>m</w:t>
      </w:r>
      <w:r w:rsidRPr="00306005">
        <w:rPr>
          <w:rFonts w:eastAsia="DengXian"/>
          <w:b/>
          <w:bCs/>
          <w:szCs w:val="16"/>
          <w:lang w:val="en-US"/>
        </w:rPr>
        <w:t>ax TDW size when pre-compensation to keep phase rotation due to timing drift within the phase difference limit is performed and without taking TA pre-compensation update into account (Option 1b)</w:t>
      </w:r>
    </w:p>
    <w:p w14:paraId="5E9AB5DE" w14:textId="77777777" w:rsidR="0069786A" w:rsidRPr="00306005" w:rsidRDefault="0069786A" w:rsidP="0069786A">
      <w:pPr>
        <w:rPr>
          <w:b/>
          <w:bCs/>
          <w:lang w:val="en-US" w:eastAsia="ja-JP"/>
        </w:rPr>
      </w:pPr>
      <w:r w:rsidRPr="00306005">
        <w:rPr>
          <w:rFonts w:hint="eastAsia"/>
          <w:b/>
          <w:bCs/>
          <w:lang w:val="en-US" w:eastAsia="ja-JP"/>
        </w:rPr>
        <w:t>P</w:t>
      </w:r>
      <w:r w:rsidRPr="00306005">
        <w:rPr>
          <w:b/>
          <w:bCs/>
          <w:lang w:val="en-US" w:eastAsia="ja-JP"/>
        </w:rPr>
        <w:t>roposal</w:t>
      </w:r>
      <w:r>
        <w:rPr>
          <w:b/>
          <w:bCs/>
          <w:lang w:val="en-US" w:eastAsia="ja-JP"/>
        </w:rPr>
        <w:t xml:space="preserve"> 7</w:t>
      </w:r>
      <w:r w:rsidRPr="00306005">
        <w:rPr>
          <w:b/>
          <w:bCs/>
          <w:lang w:val="en-US" w:eastAsia="ja-JP"/>
        </w:rPr>
        <w:t xml:space="preserve">: </w:t>
      </w:r>
      <w:r>
        <w:rPr>
          <w:b/>
          <w:bCs/>
          <w:lang w:val="en-US" w:eastAsia="ja-JP"/>
        </w:rPr>
        <w:t xml:space="preserve">UE </w:t>
      </w:r>
      <w:r w:rsidRPr="00306005">
        <w:rPr>
          <w:b/>
          <w:bCs/>
          <w:lang w:val="en-US" w:eastAsia="ja-JP"/>
        </w:rPr>
        <w:t>report</w:t>
      </w:r>
      <w:r>
        <w:rPr>
          <w:b/>
          <w:bCs/>
          <w:lang w:val="en-US" w:eastAsia="ja-JP"/>
        </w:rPr>
        <w:t>s</w:t>
      </w:r>
      <w:r w:rsidRPr="00306005">
        <w:rPr>
          <w:b/>
          <w:bCs/>
          <w:lang w:val="en-US" w:eastAsia="ja-JP"/>
        </w:rPr>
        <w:t xml:space="preserve"> </w:t>
      </w:r>
      <w:r w:rsidRPr="00306005">
        <w:rPr>
          <w:rFonts w:eastAsia="DengXian"/>
          <w:b/>
          <w:bCs/>
          <w:szCs w:val="16"/>
          <w:lang w:val="en-US"/>
        </w:rPr>
        <w:t>max TDW size based on reporting timing</w:t>
      </w:r>
      <w:r>
        <w:rPr>
          <w:rFonts w:eastAsia="DengXian"/>
          <w:b/>
          <w:bCs/>
          <w:szCs w:val="16"/>
          <w:lang w:val="en-US"/>
        </w:rPr>
        <w:t xml:space="preserve"> as an assistance information</w:t>
      </w:r>
      <w:r w:rsidRPr="00306005">
        <w:rPr>
          <w:rFonts w:eastAsia="DengXian"/>
          <w:b/>
          <w:bCs/>
          <w:szCs w:val="16"/>
          <w:lang w:val="en-US"/>
        </w:rPr>
        <w:t xml:space="preserve"> (Option 2b)</w:t>
      </w:r>
    </w:p>
    <w:p w14:paraId="535AA989" w14:textId="77777777" w:rsidR="0069786A" w:rsidRPr="0069786A" w:rsidRDefault="0069786A" w:rsidP="006471B2">
      <w:pPr>
        <w:rPr>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36E8B11F" w:rsidR="006471B2" w:rsidRDefault="006471B2" w:rsidP="006471B2">
      <w:pPr>
        <w:pStyle w:val="af2"/>
        <w:numPr>
          <w:ilvl w:val="0"/>
          <w:numId w:val="21"/>
        </w:numPr>
        <w:ind w:left="632" w:right="200"/>
        <w:jc w:val="both"/>
        <w:rPr>
          <w:lang w:eastAsia="ja-JP"/>
        </w:rPr>
      </w:pPr>
      <w:bookmarkStart w:id="0" w:name="_Ref54022269"/>
      <w:r w:rsidRPr="006B3823">
        <w:rPr>
          <w:lang w:eastAsia="ja-JP"/>
        </w:rPr>
        <w:t>RP-2</w:t>
      </w:r>
      <w:r w:rsidR="007B3A7E">
        <w:rPr>
          <w:lang w:eastAsia="ja-JP"/>
        </w:rPr>
        <w:t>30809</w:t>
      </w:r>
      <w:r>
        <w:rPr>
          <w:lang w:eastAsia="ja-JP"/>
        </w:rPr>
        <w:t xml:space="preserve">, “WID: </w:t>
      </w:r>
      <w:r w:rsidRPr="0087035F">
        <w:rPr>
          <w:lang w:eastAsia="ja-JP"/>
        </w:rPr>
        <w:t>NR NTN (Non-Terrestrial Networks) enhancements</w:t>
      </w:r>
      <w:r>
        <w:rPr>
          <w:lang w:eastAsia="ja-JP"/>
        </w:rPr>
        <w:t>”, Thales</w:t>
      </w:r>
      <w:bookmarkEnd w:id="0"/>
    </w:p>
    <w:p w14:paraId="2090FD73" w14:textId="77777777" w:rsidR="006471B2" w:rsidRDefault="006471B2" w:rsidP="006471B2">
      <w:pPr>
        <w:pStyle w:val="af2"/>
        <w:numPr>
          <w:ilvl w:val="0"/>
          <w:numId w:val="21"/>
        </w:numPr>
        <w:ind w:left="632" w:right="200"/>
        <w:jc w:val="both"/>
        <w:rPr>
          <w:lang w:eastAsia="ja-JP"/>
        </w:rPr>
      </w:pPr>
      <w:r>
        <w:rPr>
          <w:rFonts w:hint="eastAsia"/>
          <w:lang w:eastAsia="ja-JP"/>
        </w:rPr>
        <w:t>T</w:t>
      </w:r>
      <w:r>
        <w:rPr>
          <w:lang w:eastAsia="ja-JP"/>
        </w:rPr>
        <w:t>R38.821 V16.0.0</w:t>
      </w:r>
    </w:p>
    <w:p w14:paraId="73DB49CF" w14:textId="77777777" w:rsidR="002E01EA" w:rsidRPr="002E01EA" w:rsidRDefault="002E01EA" w:rsidP="002E01EA">
      <w:pPr>
        <w:rPr>
          <w:lang w:eastAsia="ja-JP"/>
        </w:rPr>
      </w:pPr>
    </w:p>
    <w:sectPr w:rsidR="002E01EA" w:rsidRPr="002E01EA"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ED8A" w14:textId="77777777" w:rsidR="00546AA2" w:rsidRDefault="00546AA2">
      <w:r>
        <w:separator/>
      </w:r>
    </w:p>
  </w:endnote>
  <w:endnote w:type="continuationSeparator" w:id="0">
    <w:p w14:paraId="10008FE6" w14:textId="77777777" w:rsidR="00546AA2" w:rsidRDefault="00546AA2">
      <w:r>
        <w:continuationSeparator/>
      </w:r>
    </w:p>
  </w:endnote>
  <w:endnote w:type="continuationNotice" w:id="1">
    <w:p w14:paraId="25AD150E" w14:textId="77777777" w:rsidR="00546AA2" w:rsidRDefault="00546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85F0D" w14:textId="77777777" w:rsidR="00546AA2" w:rsidRDefault="00546AA2">
      <w:r>
        <w:separator/>
      </w:r>
    </w:p>
  </w:footnote>
  <w:footnote w:type="continuationSeparator" w:id="0">
    <w:p w14:paraId="54F48AD9" w14:textId="77777777" w:rsidR="00546AA2" w:rsidRDefault="00546AA2">
      <w:r>
        <w:continuationSeparator/>
      </w:r>
    </w:p>
  </w:footnote>
  <w:footnote w:type="continuationNotice" w:id="1">
    <w:p w14:paraId="6A63F90F" w14:textId="77777777" w:rsidR="00546AA2" w:rsidRDefault="00546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F4C4A"/>
    <w:multiLevelType w:val="hybridMultilevel"/>
    <w:tmpl w:val="F626C03E"/>
    <w:lvl w:ilvl="0" w:tplc="AACA92F6">
      <w:start w:val="1"/>
      <w:numFmt w:val="bullet"/>
      <w:lvlText w:val="•"/>
      <w:lvlJc w:val="left"/>
      <w:pPr>
        <w:tabs>
          <w:tab w:val="num" w:pos="720"/>
        </w:tabs>
        <w:ind w:left="720" w:hanging="360"/>
      </w:pPr>
      <w:rPr>
        <w:rFonts w:ascii="Arial" w:hAnsi="Arial" w:hint="default"/>
      </w:rPr>
    </w:lvl>
    <w:lvl w:ilvl="1" w:tplc="61B61FDC">
      <w:numFmt w:val="bullet"/>
      <w:lvlText w:val="–"/>
      <w:lvlJc w:val="left"/>
      <w:pPr>
        <w:tabs>
          <w:tab w:val="num" w:pos="1440"/>
        </w:tabs>
        <w:ind w:left="1440" w:hanging="360"/>
      </w:pPr>
      <w:rPr>
        <w:rFonts w:ascii="Arial" w:hAnsi="Arial" w:hint="default"/>
      </w:rPr>
    </w:lvl>
    <w:lvl w:ilvl="2" w:tplc="83085C8C" w:tentative="1">
      <w:start w:val="1"/>
      <w:numFmt w:val="bullet"/>
      <w:lvlText w:val="•"/>
      <w:lvlJc w:val="left"/>
      <w:pPr>
        <w:tabs>
          <w:tab w:val="num" w:pos="2160"/>
        </w:tabs>
        <w:ind w:left="2160" w:hanging="360"/>
      </w:pPr>
      <w:rPr>
        <w:rFonts w:ascii="Arial" w:hAnsi="Arial" w:hint="default"/>
      </w:rPr>
    </w:lvl>
    <w:lvl w:ilvl="3" w:tplc="B8B81018" w:tentative="1">
      <w:start w:val="1"/>
      <w:numFmt w:val="bullet"/>
      <w:lvlText w:val="•"/>
      <w:lvlJc w:val="left"/>
      <w:pPr>
        <w:tabs>
          <w:tab w:val="num" w:pos="2880"/>
        </w:tabs>
        <w:ind w:left="2880" w:hanging="360"/>
      </w:pPr>
      <w:rPr>
        <w:rFonts w:ascii="Arial" w:hAnsi="Arial" w:hint="default"/>
      </w:rPr>
    </w:lvl>
    <w:lvl w:ilvl="4" w:tplc="D0C48F16" w:tentative="1">
      <w:start w:val="1"/>
      <w:numFmt w:val="bullet"/>
      <w:lvlText w:val="•"/>
      <w:lvlJc w:val="left"/>
      <w:pPr>
        <w:tabs>
          <w:tab w:val="num" w:pos="3600"/>
        </w:tabs>
        <w:ind w:left="3600" w:hanging="360"/>
      </w:pPr>
      <w:rPr>
        <w:rFonts w:ascii="Arial" w:hAnsi="Arial" w:hint="default"/>
      </w:rPr>
    </w:lvl>
    <w:lvl w:ilvl="5" w:tplc="AA6C6598" w:tentative="1">
      <w:start w:val="1"/>
      <w:numFmt w:val="bullet"/>
      <w:lvlText w:val="•"/>
      <w:lvlJc w:val="left"/>
      <w:pPr>
        <w:tabs>
          <w:tab w:val="num" w:pos="4320"/>
        </w:tabs>
        <w:ind w:left="4320" w:hanging="360"/>
      </w:pPr>
      <w:rPr>
        <w:rFonts w:ascii="Arial" w:hAnsi="Arial" w:hint="default"/>
      </w:rPr>
    </w:lvl>
    <w:lvl w:ilvl="6" w:tplc="0046D518" w:tentative="1">
      <w:start w:val="1"/>
      <w:numFmt w:val="bullet"/>
      <w:lvlText w:val="•"/>
      <w:lvlJc w:val="left"/>
      <w:pPr>
        <w:tabs>
          <w:tab w:val="num" w:pos="5040"/>
        </w:tabs>
        <w:ind w:left="5040" w:hanging="360"/>
      </w:pPr>
      <w:rPr>
        <w:rFonts w:ascii="Arial" w:hAnsi="Arial" w:hint="default"/>
      </w:rPr>
    </w:lvl>
    <w:lvl w:ilvl="7" w:tplc="9C840390" w:tentative="1">
      <w:start w:val="1"/>
      <w:numFmt w:val="bullet"/>
      <w:lvlText w:val="•"/>
      <w:lvlJc w:val="left"/>
      <w:pPr>
        <w:tabs>
          <w:tab w:val="num" w:pos="5760"/>
        </w:tabs>
        <w:ind w:left="5760" w:hanging="360"/>
      </w:pPr>
      <w:rPr>
        <w:rFonts w:ascii="Arial" w:hAnsi="Arial" w:hint="default"/>
      </w:rPr>
    </w:lvl>
    <w:lvl w:ilvl="8" w:tplc="2520BE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B065F3"/>
    <w:multiLevelType w:val="hybridMultilevel"/>
    <w:tmpl w:val="C67862BA"/>
    <w:lvl w:ilvl="0" w:tplc="DAD6FE52">
      <w:start w:val="1"/>
      <w:numFmt w:val="bullet"/>
      <w:lvlText w:val="•"/>
      <w:lvlJc w:val="left"/>
      <w:pPr>
        <w:tabs>
          <w:tab w:val="num" w:pos="720"/>
        </w:tabs>
        <w:ind w:left="720" w:hanging="360"/>
      </w:pPr>
      <w:rPr>
        <w:rFonts w:ascii="Arial" w:hAnsi="Arial" w:hint="default"/>
      </w:rPr>
    </w:lvl>
    <w:lvl w:ilvl="1" w:tplc="4CCC9DC8">
      <w:numFmt w:val="bullet"/>
      <w:lvlText w:val="–"/>
      <w:lvlJc w:val="left"/>
      <w:pPr>
        <w:tabs>
          <w:tab w:val="num" w:pos="1440"/>
        </w:tabs>
        <w:ind w:left="1440" w:hanging="360"/>
      </w:pPr>
      <w:rPr>
        <w:rFonts w:ascii="Arial" w:hAnsi="Arial" w:hint="default"/>
      </w:rPr>
    </w:lvl>
    <w:lvl w:ilvl="2" w:tplc="7780DE76" w:tentative="1">
      <w:start w:val="1"/>
      <w:numFmt w:val="bullet"/>
      <w:lvlText w:val="•"/>
      <w:lvlJc w:val="left"/>
      <w:pPr>
        <w:tabs>
          <w:tab w:val="num" w:pos="2160"/>
        </w:tabs>
        <w:ind w:left="2160" w:hanging="360"/>
      </w:pPr>
      <w:rPr>
        <w:rFonts w:ascii="Arial" w:hAnsi="Arial" w:hint="default"/>
      </w:rPr>
    </w:lvl>
    <w:lvl w:ilvl="3" w:tplc="D228C3E8" w:tentative="1">
      <w:start w:val="1"/>
      <w:numFmt w:val="bullet"/>
      <w:lvlText w:val="•"/>
      <w:lvlJc w:val="left"/>
      <w:pPr>
        <w:tabs>
          <w:tab w:val="num" w:pos="2880"/>
        </w:tabs>
        <w:ind w:left="2880" w:hanging="360"/>
      </w:pPr>
      <w:rPr>
        <w:rFonts w:ascii="Arial" w:hAnsi="Arial" w:hint="default"/>
      </w:rPr>
    </w:lvl>
    <w:lvl w:ilvl="4" w:tplc="50BED9C4" w:tentative="1">
      <w:start w:val="1"/>
      <w:numFmt w:val="bullet"/>
      <w:lvlText w:val="•"/>
      <w:lvlJc w:val="left"/>
      <w:pPr>
        <w:tabs>
          <w:tab w:val="num" w:pos="3600"/>
        </w:tabs>
        <w:ind w:left="3600" w:hanging="360"/>
      </w:pPr>
      <w:rPr>
        <w:rFonts w:ascii="Arial" w:hAnsi="Arial" w:hint="default"/>
      </w:rPr>
    </w:lvl>
    <w:lvl w:ilvl="5" w:tplc="DA86D866" w:tentative="1">
      <w:start w:val="1"/>
      <w:numFmt w:val="bullet"/>
      <w:lvlText w:val="•"/>
      <w:lvlJc w:val="left"/>
      <w:pPr>
        <w:tabs>
          <w:tab w:val="num" w:pos="4320"/>
        </w:tabs>
        <w:ind w:left="4320" w:hanging="360"/>
      </w:pPr>
      <w:rPr>
        <w:rFonts w:ascii="Arial" w:hAnsi="Arial" w:hint="default"/>
      </w:rPr>
    </w:lvl>
    <w:lvl w:ilvl="6" w:tplc="7BE0E060" w:tentative="1">
      <w:start w:val="1"/>
      <w:numFmt w:val="bullet"/>
      <w:lvlText w:val="•"/>
      <w:lvlJc w:val="left"/>
      <w:pPr>
        <w:tabs>
          <w:tab w:val="num" w:pos="5040"/>
        </w:tabs>
        <w:ind w:left="5040" w:hanging="360"/>
      </w:pPr>
      <w:rPr>
        <w:rFonts w:ascii="Arial" w:hAnsi="Arial" w:hint="default"/>
      </w:rPr>
    </w:lvl>
    <w:lvl w:ilvl="7" w:tplc="476A0892" w:tentative="1">
      <w:start w:val="1"/>
      <w:numFmt w:val="bullet"/>
      <w:lvlText w:val="•"/>
      <w:lvlJc w:val="left"/>
      <w:pPr>
        <w:tabs>
          <w:tab w:val="num" w:pos="5760"/>
        </w:tabs>
        <w:ind w:left="5760" w:hanging="360"/>
      </w:pPr>
      <w:rPr>
        <w:rFonts w:ascii="Arial" w:hAnsi="Arial" w:hint="default"/>
      </w:rPr>
    </w:lvl>
    <w:lvl w:ilvl="8" w:tplc="454246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433A2F"/>
    <w:multiLevelType w:val="hybridMultilevel"/>
    <w:tmpl w:val="D8280F14"/>
    <w:lvl w:ilvl="0" w:tplc="EE364246">
      <w:start w:val="1"/>
      <w:numFmt w:val="bullet"/>
      <w:lvlText w:val=""/>
      <w:lvlJc w:val="left"/>
      <w:pPr>
        <w:tabs>
          <w:tab w:val="num" w:pos="720"/>
        </w:tabs>
        <w:ind w:left="720" w:hanging="360"/>
      </w:pPr>
      <w:rPr>
        <w:rFonts w:ascii="Symbol" w:hAnsi="Symbol" w:hint="default"/>
      </w:rPr>
    </w:lvl>
    <w:lvl w:ilvl="1" w:tplc="C9BE109E">
      <w:numFmt w:val="bullet"/>
      <w:lvlText w:val="o"/>
      <w:lvlJc w:val="left"/>
      <w:pPr>
        <w:tabs>
          <w:tab w:val="num" w:pos="1440"/>
        </w:tabs>
        <w:ind w:left="1440" w:hanging="360"/>
      </w:pPr>
      <w:rPr>
        <w:rFonts w:ascii="Courier New" w:hAnsi="Courier New" w:hint="default"/>
      </w:rPr>
    </w:lvl>
    <w:lvl w:ilvl="2" w:tplc="D7067ACC">
      <w:numFmt w:val="bullet"/>
      <w:lvlText w:val="-"/>
      <w:lvlJc w:val="left"/>
      <w:pPr>
        <w:tabs>
          <w:tab w:val="num" w:pos="2160"/>
        </w:tabs>
        <w:ind w:left="2160" w:hanging="360"/>
      </w:pPr>
      <w:rPr>
        <w:rFonts w:ascii="Times" w:hAnsi="Times" w:hint="default"/>
      </w:rPr>
    </w:lvl>
    <w:lvl w:ilvl="3" w:tplc="7996089E" w:tentative="1">
      <w:start w:val="1"/>
      <w:numFmt w:val="bullet"/>
      <w:lvlText w:val=""/>
      <w:lvlJc w:val="left"/>
      <w:pPr>
        <w:tabs>
          <w:tab w:val="num" w:pos="2880"/>
        </w:tabs>
        <w:ind w:left="2880" w:hanging="360"/>
      </w:pPr>
      <w:rPr>
        <w:rFonts w:ascii="Symbol" w:hAnsi="Symbol" w:hint="default"/>
      </w:rPr>
    </w:lvl>
    <w:lvl w:ilvl="4" w:tplc="ECD2DD46" w:tentative="1">
      <w:start w:val="1"/>
      <w:numFmt w:val="bullet"/>
      <w:lvlText w:val=""/>
      <w:lvlJc w:val="left"/>
      <w:pPr>
        <w:tabs>
          <w:tab w:val="num" w:pos="3600"/>
        </w:tabs>
        <w:ind w:left="3600" w:hanging="360"/>
      </w:pPr>
      <w:rPr>
        <w:rFonts w:ascii="Symbol" w:hAnsi="Symbol" w:hint="default"/>
      </w:rPr>
    </w:lvl>
    <w:lvl w:ilvl="5" w:tplc="689468F0" w:tentative="1">
      <w:start w:val="1"/>
      <w:numFmt w:val="bullet"/>
      <w:lvlText w:val=""/>
      <w:lvlJc w:val="left"/>
      <w:pPr>
        <w:tabs>
          <w:tab w:val="num" w:pos="4320"/>
        </w:tabs>
        <w:ind w:left="4320" w:hanging="360"/>
      </w:pPr>
      <w:rPr>
        <w:rFonts w:ascii="Symbol" w:hAnsi="Symbol" w:hint="default"/>
      </w:rPr>
    </w:lvl>
    <w:lvl w:ilvl="6" w:tplc="5332F990" w:tentative="1">
      <w:start w:val="1"/>
      <w:numFmt w:val="bullet"/>
      <w:lvlText w:val=""/>
      <w:lvlJc w:val="left"/>
      <w:pPr>
        <w:tabs>
          <w:tab w:val="num" w:pos="5040"/>
        </w:tabs>
        <w:ind w:left="5040" w:hanging="360"/>
      </w:pPr>
      <w:rPr>
        <w:rFonts w:ascii="Symbol" w:hAnsi="Symbol" w:hint="default"/>
      </w:rPr>
    </w:lvl>
    <w:lvl w:ilvl="7" w:tplc="933AA012" w:tentative="1">
      <w:start w:val="1"/>
      <w:numFmt w:val="bullet"/>
      <w:lvlText w:val=""/>
      <w:lvlJc w:val="left"/>
      <w:pPr>
        <w:tabs>
          <w:tab w:val="num" w:pos="5760"/>
        </w:tabs>
        <w:ind w:left="5760" w:hanging="360"/>
      </w:pPr>
      <w:rPr>
        <w:rFonts w:ascii="Symbol" w:hAnsi="Symbol" w:hint="default"/>
      </w:rPr>
    </w:lvl>
    <w:lvl w:ilvl="8" w:tplc="3BDE04B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4E74BC"/>
    <w:multiLevelType w:val="hybridMultilevel"/>
    <w:tmpl w:val="32BEF8C0"/>
    <w:lvl w:ilvl="0" w:tplc="9154CC1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47972AF"/>
    <w:multiLevelType w:val="hybridMultilevel"/>
    <w:tmpl w:val="CCBE0BBC"/>
    <w:lvl w:ilvl="0" w:tplc="7714C81C">
      <w:start w:val="1"/>
      <w:numFmt w:val="bullet"/>
      <w:lvlText w:val=""/>
      <w:lvlJc w:val="left"/>
      <w:pPr>
        <w:tabs>
          <w:tab w:val="num" w:pos="720"/>
        </w:tabs>
        <w:ind w:left="720" w:hanging="360"/>
      </w:pPr>
      <w:rPr>
        <w:rFonts w:ascii="Symbol" w:hAnsi="Symbol" w:hint="default"/>
      </w:rPr>
    </w:lvl>
    <w:lvl w:ilvl="1" w:tplc="8D160044" w:tentative="1">
      <w:start w:val="1"/>
      <w:numFmt w:val="bullet"/>
      <w:lvlText w:val=""/>
      <w:lvlJc w:val="left"/>
      <w:pPr>
        <w:tabs>
          <w:tab w:val="num" w:pos="1440"/>
        </w:tabs>
        <w:ind w:left="1440" w:hanging="360"/>
      </w:pPr>
      <w:rPr>
        <w:rFonts w:ascii="Symbol" w:hAnsi="Symbol" w:hint="default"/>
      </w:rPr>
    </w:lvl>
    <w:lvl w:ilvl="2" w:tplc="AE301406" w:tentative="1">
      <w:start w:val="1"/>
      <w:numFmt w:val="bullet"/>
      <w:lvlText w:val=""/>
      <w:lvlJc w:val="left"/>
      <w:pPr>
        <w:tabs>
          <w:tab w:val="num" w:pos="2160"/>
        </w:tabs>
        <w:ind w:left="2160" w:hanging="360"/>
      </w:pPr>
      <w:rPr>
        <w:rFonts w:ascii="Symbol" w:hAnsi="Symbol" w:hint="default"/>
      </w:rPr>
    </w:lvl>
    <w:lvl w:ilvl="3" w:tplc="9264A3BE" w:tentative="1">
      <w:start w:val="1"/>
      <w:numFmt w:val="bullet"/>
      <w:lvlText w:val=""/>
      <w:lvlJc w:val="left"/>
      <w:pPr>
        <w:tabs>
          <w:tab w:val="num" w:pos="2880"/>
        </w:tabs>
        <w:ind w:left="2880" w:hanging="360"/>
      </w:pPr>
      <w:rPr>
        <w:rFonts w:ascii="Symbol" w:hAnsi="Symbol" w:hint="default"/>
      </w:rPr>
    </w:lvl>
    <w:lvl w:ilvl="4" w:tplc="63263DE6" w:tentative="1">
      <w:start w:val="1"/>
      <w:numFmt w:val="bullet"/>
      <w:lvlText w:val=""/>
      <w:lvlJc w:val="left"/>
      <w:pPr>
        <w:tabs>
          <w:tab w:val="num" w:pos="3600"/>
        </w:tabs>
        <w:ind w:left="3600" w:hanging="360"/>
      </w:pPr>
      <w:rPr>
        <w:rFonts w:ascii="Symbol" w:hAnsi="Symbol" w:hint="default"/>
      </w:rPr>
    </w:lvl>
    <w:lvl w:ilvl="5" w:tplc="233618F2" w:tentative="1">
      <w:start w:val="1"/>
      <w:numFmt w:val="bullet"/>
      <w:lvlText w:val=""/>
      <w:lvlJc w:val="left"/>
      <w:pPr>
        <w:tabs>
          <w:tab w:val="num" w:pos="4320"/>
        </w:tabs>
        <w:ind w:left="4320" w:hanging="360"/>
      </w:pPr>
      <w:rPr>
        <w:rFonts w:ascii="Symbol" w:hAnsi="Symbol" w:hint="default"/>
      </w:rPr>
    </w:lvl>
    <w:lvl w:ilvl="6" w:tplc="58BC8B7E" w:tentative="1">
      <w:start w:val="1"/>
      <w:numFmt w:val="bullet"/>
      <w:lvlText w:val=""/>
      <w:lvlJc w:val="left"/>
      <w:pPr>
        <w:tabs>
          <w:tab w:val="num" w:pos="5040"/>
        </w:tabs>
        <w:ind w:left="5040" w:hanging="360"/>
      </w:pPr>
      <w:rPr>
        <w:rFonts w:ascii="Symbol" w:hAnsi="Symbol" w:hint="default"/>
      </w:rPr>
    </w:lvl>
    <w:lvl w:ilvl="7" w:tplc="C4F22E46" w:tentative="1">
      <w:start w:val="1"/>
      <w:numFmt w:val="bullet"/>
      <w:lvlText w:val=""/>
      <w:lvlJc w:val="left"/>
      <w:pPr>
        <w:tabs>
          <w:tab w:val="num" w:pos="5760"/>
        </w:tabs>
        <w:ind w:left="5760" w:hanging="360"/>
      </w:pPr>
      <w:rPr>
        <w:rFonts w:ascii="Symbol" w:hAnsi="Symbol" w:hint="default"/>
      </w:rPr>
    </w:lvl>
    <w:lvl w:ilvl="8" w:tplc="88D85B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3"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3B7A72"/>
    <w:multiLevelType w:val="hybridMultilevel"/>
    <w:tmpl w:val="930E2548"/>
    <w:lvl w:ilvl="0" w:tplc="9C0041D6">
      <w:start w:val="1"/>
      <w:numFmt w:val="bullet"/>
      <w:lvlText w:val="•"/>
      <w:lvlJc w:val="left"/>
      <w:pPr>
        <w:tabs>
          <w:tab w:val="num" w:pos="720"/>
        </w:tabs>
        <w:ind w:left="720" w:hanging="360"/>
      </w:pPr>
      <w:rPr>
        <w:rFonts w:ascii="Arial" w:hAnsi="Arial" w:hint="default"/>
      </w:rPr>
    </w:lvl>
    <w:lvl w:ilvl="1" w:tplc="04989BAA">
      <w:numFmt w:val="bullet"/>
      <w:lvlText w:val="–"/>
      <w:lvlJc w:val="left"/>
      <w:pPr>
        <w:tabs>
          <w:tab w:val="num" w:pos="1440"/>
        </w:tabs>
        <w:ind w:left="1440" w:hanging="360"/>
      </w:pPr>
      <w:rPr>
        <w:rFonts w:ascii="Arial" w:hAnsi="Arial" w:hint="default"/>
      </w:rPr>
    </w:lvl>
    <w:lvl w:ilvl="2" w:tplc="3F52B0FE">
      <w:start w:val="1"/>
      <w:numFmt w:val="bullet"/>
      <w:lvlText w:val="•"/>
      <w:lvlJc w:val="left"/>
      <w:pPr>
        <w:tabs>
          <w:tab w:val="num" w:pos="2160"/>
        </w:tabs>
        <w:ind w:left="2160" w:hanging="360"/>
      </w:pPr>
      <w:rPr>
        <w:rFonts w:ascii="Arial" w:hAnsi="Arial" w:hint="default"/>
      </w:rPr>
    </w:lvl>
    <w:lvl w:ilvl="3" w:tplc="8D520620">
      <w:start w:val="1"/>
      <w:numFmt w:val="bullet"/>
      <w:lvlText w:val="•"/>
      <w:lvlJc w:val="left"/>
      <w:pPr>
        <w:tabs>
          <w:tab w:val="num" w:pos="2880"/>
        </w:tabs>
        <w:ind w:left="2880" w:hanging="360"/>
      </w:pPr>
      <w:rPr>
        <w:rFonts w:ascii="Arial" w:hAnsi="Arial" w:hint="default"/>
      </w:rPr>
    </w:lvl>
    <w:lvl w:ilvl="4" w:tplc="57E41A34">
      <w:numFmt w:val="bullet"/>
      <w:lvlText w:val="•"/>
      <w:lvlJc w:val="left"/>
      <w:pPr>
        <w:tabs>
          <w:tab w:val="num" w:pos="3600"/>
        </w:tabs>
        <w:ind w:left="3600" w:hanging="360"/>
      </w:pPr>
      <w:rPr>
        <w:rFonts w:ascii="Arial" w:hAnsi="Arial" w:hint="default"/>
      </w:rPr>
    </w:lvl>
    <w:lvl w:ilvl="5" w:tplc="A03EF350" w:tentative="1">
      <w:start w:val="1"/>
      <w:numFmt w:val="bullet"/>
      <w:lvlText w:val="•"/>
      <w:lvlJc w:val="left"/>
      <w:pPr>
        <w:tabs>
          <w:tab w:val="num" w:pos="4320"/>
        </w:tabs>
        <w:ind w:left="4320" w:hanging="360"/>
      </w:pPr>
      <w:rPr>
        <w:rFonts w:ascii="Arial" w:hAnsi="Arial" w:hint="default"/>
      </w:rPr>
    </w:lvl>
    <w:lvl w:ilvl="6" w:tplc="D35E4D24" w:tentative="1">
      <w:start w:val="1"/>
      <w:numFmt w:val="bullet"/>
      <w:lvlText w:val="•"/>
      <w:lvlJc w:val="left"/>
      <w:pPr>
        <w:tabs>
          <w:tab w:val="num" w:pos="5040"/>
        </w:tabs>
        <w:ind w:left="5040" w:hanging="360"/>
      </w:pPr>
      <w:rPr>
        <w:rFonts w:ascii="Arial" w:hAnsi="Arial" w:hint="default"/>
      </w:rPr>
    </w:lvl>
    <w:lvl w:ilvl="7" w:tplc="AB542838" w:tentative="1">
      <w:start w:val="1"/>
      <w:numFmt w:val="bullet"/>
      <w:lvlText w:val="•"/>
      <w:lvlJc w:val="left"/>
      <w:pPr>
        <w:tabs>
          <w:tab w:val="num" w:pos="5760"/>
        </w:tabs>
        <w:ind w:left="5760" w:hanging="360"/>
      </w:pPr>
      <w:rPr>
        <w:rFonts w:ascii="Arial" w:hAnsi="Arial" w:hint="default"/>
      </w:rPr>
    </w:lvl>
    <w:lvl w:ilvl="8" w:tplc="5C0463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482A38"/>
    <w:multiLevelType w:val="hybridMultilevel"/>
    <w:tmpl w:val="B5A066F8"/>
    <w:lvl w:ilvl="0" w:tplc="97702368">
      <w:start w:val="1"/>
      <w:numFmt w:val="bullet"/>
      <w:lvlText w:val="•"/>
      <w:lvlJc w:val="left"/>
      <w:pPr>
        <w:tabs>
          <w:tab w:val="num" w:pos="360"/>
        </w:tabs>
        <w:ind w:left="360" w:hanging="360"/>
      </w:pPr>
      <w:rPr>
        <w:rFonts w:ascii="Arial" w:hAnsi="Arial" w:hint="default"/>
      </w:rPr>
    </w:lvl>
    <w:lvl w:ilvl="1" w:tplc="C0703F3A">
      <w:numFmt w:val="bullet"/>
      <w:lvlText w:val="–"/>
      <w:lvlJc w:val="left"/>
      <w:pPr>
        <w:tabs>
          <w:tab w:val="num" w:pos="1080"/>
        </w:tabs>
        <w:ind w:left="1080" w:hanging="360"/>
      </w:pPr>
      <w:rPr>
        <w:rFonts w:ascii="Arial" w:hAnsi="Arial" w:hint="default"/>
      </w:rPr>
    </w:lvl>
    <w:lvl w:ilvl="2" w:tplc="024A1934">
      <w:numFmt w:val="bullet"/>
      <w:lvlText w:val="•"/>
      <w:lvlJc w:val="left"/>
      <w:pPr>
        <w:tabs>
          <w:tab w:val="num" w:pos="1800"/>
        </w:tabs>
        <w:ind w:left="1800" w:hanging="360"/>
      </w:pPr>
      <w:rPr>
        <w:rFonts w:ascii="Arial" w:hAnsi="Arial" w:hint="default"/>
      </w:rPr>
    </w:lvl>
    <w:lvl w:ilvl="3" w:tplc="2972890E" w:tentative="1">
      <w:start w:val="1"/>
      <w:numFmt w:val="bullet"/>
      <w:lvlText w:val="•"/>
      <w:lvlJc w:val="left"/>
      <w:pPr>
        <w:tabs>
          <w:tab w:val="num" w:pos="2520"/>
        </w:tabs>
        <w:ind w:left="2520" w:hanging="360"/>
      </w:pPr>
      <w:rPr>
        <w:rFonts w:ascii="Arial" w:hAnsi="Arial" w:hint="default"/>
      </w:rPr>
    </w:lvl>
    <w:lvl w:ilvl="4" w:tplc="3F5AE276" w:tentative="1">
      <w:start w:val="1"/>
      <w:numFmt w:val="bullet"/>
      <w:lvlText w:val="•"/>
      <w:lvlJc w:val="left"/>
      <w:pPr>
        <w:tabs>
          <w:tab w:val="num" w:pos="3240"/>
        </w:tabs>
        <w:ind w:left="3240" w:hanging="360"/>
      </w:pPr>
      <w:rPr>
        <w:rFonts w:ascii="Arial" w:hAnsi="Arial" w:hint="default"/>
      </w:rPr>
    </w:lvl>
    <w:lvl w:ilvl="5" w:tplc="5B22BB3C" w:tentative="1">
      <w:start w:val="1"/>
      <w:numFmt w:val="bullet"/>
      <w:lvlText w:val="•"/>
      <w:lvlJc w:val="left"/>
      <w:pPr>
        <w:tabs>
          <w:tab w:val="num" w:pos="3960"/>
        </w:tabs>
        <w:ind w:left="3960" w:hanging="360"/>
      </w:pPr>
      <w:rPr>
        <w:rFonts w:ascii="Arial" w:hAnsi="Arial" w:hint="default"/>
      </w:rPr>
    </w:lvl>
    <w:lvl w:ilvl="6" w:tplc="6AC2FC52" w:tentative="1">
      <w:start w:val="1"/>
      <w:numFmt w:val="bullet"/>
      <w:lvlText w:val="•"/>
      <w:lvlJc w:val="left"/>
      <w:pPr>
        <w:tabs>
          <w:tab w:val="num" w:pos="4680"/>
        </w:tabs>
        <w:ind w:left="4680" w:hanging="360"/>
      </w:pPr>
      <w:rPr>
        <w:rFonts w:ascii="Arial" w:hAnsi="Arial" w:hint="default"/>
      </w:rPr>
    </w:lvl>
    <w:lvl w:ilvl="7" w:tplc="9EB63A46" w:tentative="1">
      <w:start w:val="1"/>
      <w:numFmt w:val="bullet"/>
      <w:lvlText w:val="•"/>
      <w:lvlJc w:val="left"/>
      <w:pPr>
        <w:tabs>
          <w:tab w:val="num" w:pos="5400"/>
        </w:tabs>
        <w:ind w:left="5400" w:hanging="360"/>
      </w:pPr>
      <w:rPr>
        <w:rFonts w:ascii="Arial" w:hAnsi="Arial" w:hint="default"/>
      </w:rPr>
    </w:lvl>
    <w:lvl w:ilvl="8" w:tplc="08D068D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5DA2B01"/>
    <w:multiLevelType w:val="hybridMultilevel"/>
    <w:tmpl w:val="ECE221C0"/>
    <w:lvl w:ilvl="0" w:tplc="079C3266">
      <w:start w:val="1"/>
      <w:numFmt w:val="bullet"/>
      <w:lvlText w:val="•"/>
      <w:lvlJc w:val="left"/>
      <w:pPr>
        <w:tabs>
          <w:tab w:val="num" w:pos="720"/>
        </w:tabs>
        <w:ind w:left="720" w:hanging="360"/>
      </w:pPr>
      <w:rPr>
        <w:rFonts w:ascii="Arial" w:hAnsi="Arial" w:hint="default"/>
        <w:lang w:val="en-GB"/>
      </w:rPr>
    </w:lvl>
    <w:lvl w:ilvl="1" w:tplc="7756B080">
      <w:numFmt w:val="bullet"/>
      <w:lvlText w:val="–"/>
      <w:lvlJc w:val="left"/>
      <w:pPr>
        <w:tabs>
          <w:tab w:val="num" w:pos="1440"/>
        </w:tabs>
        <w:ind w:left="1440" w:hanging="360"/>
      </w:pPr>
      <w:rPr>
        <w:rFonts w:ascii="Arial" w:hAnsi="Arial" w:hint="default"/>
      </w:rPr>
    </w:lvl>
    <w:lvl w:ilvl="2" w:tplc="C0FE5984" w:tentative="1">
      <w:start w:val="1"/>
      <w:numFmt w:val="bullet"/>
      <w:lvlText w:val="•"/>
      <w:lvlJc w:val="left"/>
      <w:pPr>
        <w:tabs>
          <w:tab w:val="num" w:pos="2160"/>
        </w:tabs>
        <w:ind w:left="2160" w:hanging="360"/>
      </w:pPr>
      <w:rPr>
        <w:rFonts w:ascii="Arial" w:hAnsi="Arial" w:hint="default"/>
      </w:rPr>
    </w:lvl>
    <w:lvl w:ilvl="3" w:tplc="8592AFD0" w:tentative="1">
      <w:start w:val="1"/>
      <w:numFmt w:val="bullet"/>
      <w:lvlText w:val="•"/>
      <w:lvlJc w:val="left"/>
      <w:pPr>
        <w:tabs>
          <w:tab w:val="num" w:pos="2880"/>
        </w:tabs>
        <w:ind w:left="2880" w:hanging="360"/>
      </w:pPr>
      <w:rPr>
        <w:rFonts w:ascii="Arial" w:hAnsi="Arial" w:hint="default"/>
      </w:rPr>
    </w:lvl>
    <w:lvl w:ilvl="4" w:tplc="351619FA" w:tentative="1">
      <w:start w:val="1"/>
      <w:numFmt w:val="bullet"/>
      <w:lvlText w:val="•"/>
      <w:lvlJc w:val="left"/>
      <w:pPr>
        <w:tabs>
          <w:tab w:val="num" w:pos="3600"/>
        </w:tabs>
        <w:ind w:left="3600" w:hanging="360"/>
      </w:pPr>
      <w:rPr>
        <w:rFonts w:ascii="Arial" w:hAnsi="Arial" w:hint="default"/>
      </w:rPr>
    </w:lvl>
    <w:lvl w:ilvl="5" w:tplc="0CCC2E88" w:tentative="1">
      <w:start w:val="1"/>
      <w:numFmt w:val="bullet"/>
      <w:lvlText w:val="•"/>
      <w:lvlJc w:val="left"/>
      <w:pPr>
        <w:tabs>
          <w:tab w:val="num" w:pos="4320"/>
        </w:tabs>
        <w:ind w:left="4320" w:hanging="360"/>
      </w:pPr>
      <w:rPr>
        <w:rFonts w:ascii="Arial" w:hAnsi="Arial" w:hint="default"/>
      </w:rPr>
    </w:lvl>
    <w:lvl w:ilvl="6" w:tplc="9F52B4A0" w:tentative="1">
      <w:start w:val="1"/>
      <w:numFmt w:val="bullet"/>
      <w:lvlText w:val="•"/>
      <w:lvlJc w:val="left"/>
      <w:pPr>
        <w:tabs>
          <w:tab w:val="num" w:pos="5040"/>
        </w:tabs>
        <w:ind w:left="5040" w:hanging="360"/>
      </w:pPr>
      <w:rPr>
        <w:rFonts w:ascii="Arial" w:hAnsi="Arial" w:hint="default"/>
      </w:rPr>
    </w:lvl>
    <w:lvl w:ilvl="7" w:tplc="D2140060" w:tentative="1">
      <w:start w:val="1"/>
      <w:numFmt w:val="bullet"/>
      <w:lvlText w:val="•"/>
      <w:lvlJc w:val="left"/>
      <w:pPr>
        <w:tabs>
          <w:tab w:val="num" w:pos="5760"/>
        </w:tabs>
        <w:ind w:left="5760" w:hanging="360"/>
      </w:pPr>
      <w:rPr>
        <w:rFonts w:ascii="Arial" w:hAnsi="Arial" w:hint="default"/>
      </w:rPr>
    </w:lvl>
    <w:lvl w:ilvl="8" w:tplc="A3021B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2EB6EF8"/>
    <w:multiLevelType w:val="hybridMultilevel"/>
    <w:tmpl w:val="BB681552"/>
    <w:lvl w:ilvl="0" w:tplc="5672C5D4">
      <w:start w:val="1"/>
      <w:numFmt w:val="bullet"/>
      <w:lvlText w:val="•"/>
      <w:lvlJc w:val="left"/>
      <w:pPr>
        <w:tabs>
          <w:tab w:val="num" w:pos="720"/>
        </w:tabs>
        <w:ind w:left="720" w:hanging="360"/>
      </w:pPr>
      <w:rPr>
        <w:rFonts w:ascii="Arial" w:hAnsi="Arial" w:hint="default"/>
      </w:rPr>
    </w:lvl>
    <w:lvl w:ilvl="1" w:tplc="0D3E4EAA">
      <w:numFmt w:val="bullet"/>
      <w:lvlText w:val="–"/>
      <w:lvlJc w:val="left"/>
      <w:pPr>
        <w:tabs>
          <w:tab w:val="num" w:pos="1440"/>
        </w:tabs>
        <w:ind w:left="1440" w:hanging="360"/>
      </w:pPr>
      <w:rPr>
        <w:rFonts w:ascii="Arial" w:hAnsi="Arial" w:hint="default"/>
      </w:rPr>
    </w:lvl>
    <w:lvl w:ilvl="2" w:tplc="40768030" w:tentative="1">
      <w:start w:val="1"/>
      <w:numFmt w:val="bullet"/>
      <w:lvlText w:val="•"/>
      <w:lvlJc w:val="left"/>
      <w:pPr>
        <w:tabs>
          <w:tab w:val="num" w:pos="2160"/>
        </w:tabs>
        <w:ind w:left="2160" w:hanging="360"/>
      </w:pPr>
      <w:rPr>
        <w:rFonts w:ascii="Arial" w:hAnsi="Arial" w:hint="default"/>
      </w:rPr>
    </w:lvl>
    <w:lvl w:ilvl="3" w:tplc="5A389DE4" w:tentative="1">
      <w:start w:val="1"/>
      <w:numFmt w:val="bullet"/>
      <w:lvlText w:val="•"/>
      <w:lvlJc w:val="left"/>
      <w:pPr>
        <w:tabs>
          <w:tab w:val="num" w:pos="2880"/>
        </w:tabs>
        <w:ind w:left="2880" w:hanging="360"/>
      </w:pPr>
      <w:rPr>
        <w:rFonts w:ascii="Arial" w:hAnsi="Arial" w:hint="default"/>
      </w:rPr>
    </w:lvl>
    <w:lvl w:ilvl="4" w:tplc="CB621198" w:tentative="1">
      <w:start w:val="1"/>
      <w:numFmt w:val="bullet"/>
      <w:lvlText w:val="•"/>
      <w:lvlJc w:val="left"/>
      <w:pPr>
        <w:tabs>
          <w:tab w:val="num" w:pos="3600"/>
        </w:tabs>
        <w:ind w:left="3600" w:hanging="360"/>
      </w:pPr>
      <w:rPr>
        <w:rFonts w:ascii="Arial" w:hAnsi="Arial" w:hint="default"/>
      </w:rPr>
    </w:lvl>
    <w:lvl w:ilvl="5" w:tplc="3B686584" w:tentative="1">
      <w:start w:val="1"/>
      <w:numFmt w:val="bullet"/>
      <w:lvlText w:val="•"/>
      <w:lvlJc w:val="left"/>
      <w:pPr>
        <w:tabs>
          <w:tab w:val="num" w:pos="4320"/>
        </w:tabs>
        <w:ind w:left="4320" w:hanging="360"/>
      </w:pPr>
      <w:rPr>
        <w:rFonts w:ascii="Arial" w:hAnsi="Arial" w:hint="default"/>
      </w:rPr>
    </w:lvl>
    <w:lvl w:ilvl="6" w:tplc="EAA8D966" w:tentative="1">
      <w:start w:val="1"/>
      <w:numFmt w:val="bullet"/>
      <w:lvlText w:val="•"/>
      <w:lvlJc w:val="left"/>
      <w:pPr>
        <w:tabs>
          <w:tab w:val="num" w:pos="5040"/>
        </w:tabs>
        <w:ind w:left="5040" w:hanging="360"/>
      </w:pPr>
      <w:rPr>
        <w:rFonts w:ascii="Arial" w:hAnsi="Arial" w:hint="default"/>
      </w:rPr>
    </w:lvl>
    <w:lvl w:ilvl="7" w:tplc="A12E00C4" w:tentative="1">
      <w:start w:val="1"/>
      <w:numFmt w:val="bullet"/>
      <w:lvlText w:val="•"/>
      <w:lvlJc w:val="left"/>
      <w:pPr>
        <w:tabs>
          <w:tab w:val="num" w:pos="5760"/>
        </w:tabs>
        <w:ind w:left="5760" w:hanging="360"/>
      </w:pPr>
      <w:rPr>
        <w:rFonts w:ascii="Arial" w:hAnsi="Arial" w:hint="default"/>
      </w:rPr>
    </w:lvl>
    <w:lvl w:ilvl="8" w:tplc="DB7015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34205F"/>
    <w:multiLevelType w:val="hybridMultilevel"/>
    <w:tmpl w:val="2D047FD4"/>
    <w:lvl w:ilvl="0" w:tplc="82F8DD5A">
      <w:start w:val="1"/>
      <w:numFmt w:val="bullet"/>
      <w:lvlText w:val="•"/>
      <w:lvlJc w:val="left"/>
      <w:pPr>
        <w:tabs>
          <w:tab w:val="num" w:pos="720"/>
        </w:tabs>
        <w:ind w:left="720" w:hanging="360"/>
      </w:pPr>
      <w:rPr>
        <w:rFonts w:ascii="Arial" w:hAnsi="Arial" w:hint="default"/>
      </w:rPr>
    </w:lvl>
    <w:lvl w:ilvl="1" w:tplc="46DE1A1A" w:tentative="1">
      <w:start w:val="1"/>
      <w:numFmt w:val="bullet"/>
      <w:lvlText w:val="•"/>
      <w:lvlJc w:val="left"/>
      <w:pPr>
        <w:tabs>
          <w:tab w:val="num" w:pos="1440"/>
        </w:tabs>
        <w:ind w:left="1440" w:hanging="360"/>
      </w:pPr>
      <w:rPr>
        <w:rFonts w:ascii="Arial" w:hAnsi="Arial" w:hint="default"/>
      </w:rPr>
    </w:lvl>
    <w:lvl w:ilvl="2" w:tplc="D3A850F6" w:tentative="1">
      <w:start w:val="1"/>
      <w:numFmt w:val="bullet"/>
      <w:lvlText w:val="•"/>
      <w:lvlJc w:val="left"/>
      <w:pPr>
        <w:tabs>
          <w:tab w:val="num" w:pos="2160"/>
        </w:tabs>
        <w:ind w:left="2160" w:hanging="360"/>
      </w:pPr>
      <w:rPr>
        <w:rFonts w:ascii="Arial" w:hAnsi="Arial" w:hint="default"/>
      </w:rPr>
    </w:lvl>
    <w:lvl w:ilvl="3" w:tplc="4EA0AE00" w:tentative="1">
      <w:start w:val="1"/>
      <w:numFmt w:val="bullet"/>
      <w:lvlText w:val="•"/>
      <w:lvlJc w:val="left"/>
      <w:pPr>
        <w:tabs>
          <w:tab w:val="num" w:pos="2880"/>
        </w:tabs>
        <w:ind w:left="2880" w:hanging="360"/>
      </w:pPr>
      <w:rPr>
        <w:rFonts w:ascii="Arial" w:hAnsi="Arial" w:hint="default"/>
      </w:rPr>
    </w:lvl>
    <w:lvl w:ilvl="4" w:tplc="A16AD874" w:tentative="1">
      <w:start w:val="1"/>
      <w:numFmt w:val="bullet"/>
      <w:lvlText w:val="•"/>
      <w:lvlJc w:val="left"/>
      <w:pPr>
        <w:tabs>
          <w:tab w:val="num" w:pos="3600"/>
        </w:tabs>
        <w:ind w:left="3600" w:hanging="360"/>
      </w:pPr>
      <w:rPr>
        <w:rFonts w:ascii="Arial" w:hAnsi="Arial" w:hint="default"/>
      </w:rPr>
    </w:lvl>
    <w:lvl w:ilvl="5" w:tplc="603069F2" w:tentative="1">
      <w:start w:val="1"/>
      <w:numFmt w:val="bullet"/>
      <w:lvlText w:val="•"/>
      <w:lvlJc w:val="left"/>
      <w:pPr>
        <w:tabs>
          <w:tab w:val="num" w:pos="4320"/>
        </w:tabs>
        <w:ind w:left="4320" w:hanging="360"/>
      </w:pPr>
      <w:rPr>
        <w:rFonts w:ascii="Arial" w:hAnsi="Arial" w:hint="default"/>
      </w:rPr>
    </w:lvl>
    <w:lvl w:ilvl="6" w:tplc="CD54A864" w:tentative="1">
      <w:start w:val="1"/>
      <w:numFmt w:val="bullet"/>
      <w:lvlText w:val="•"/>
      <w:lvlJc w:val="left"/>
      <w:pPr>
        <w:tabs>
          <w:tab w:val="num" w:pos="5040"/>
        </w:tabs>
        <w:ind w:left="5040" w:hanging="360"/>
      </w:pPr>
      <w:rPr>
        <w:rFonts w:ascii="Arial" w:hAnsi="Arial" w:hint="default"/>
      </w:rPr>
    </w:lvl>
    <w:lvl w:ilvl="7" w:tplc="9F5ADC1C" w:tentative="1">
      <w:start w:val="1"/>
      <w:numFmt w:val="bullet"/>
      <w:lvlText w:val="•"/>
      <w:lvlJc w:val="left"/>
      <w:pPr>
        <w:tabs>
          <w:tab w:val="num" w:pos="5760"/>
        </w:tabs>
        <w:ind w:left="5760" w:hanging="360"/>
      </w:pPr>
      <w:rPr>
        <w:rFonts w:ascii="Arial" w:hAnsi="Arial" w:hint="default"/>
      </w:rPr>
    </w:lvl>
    <w:lvl w:ilvl="8" w:tplc="B65ECB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73F718F"/>
    <w:multiLevelType w:val="hybridMultilevel"/>
    <w:tmpl w:val="91BA21C8"/>
    <w:lvl w:ilvl="0" w:tplc="7B6E9EB4">
      <w:start w:val="1"/>
      <w:numFmt w:val="bullet"/>
      <w:lvlText w:val=""/>
      <w:lvlJc w:val="left"/>
      <w:pPr>
        <w:tabs>
          <w:tab w:val="num" w:pos="720"/>
        </w:tabs>
        <w:ind w:left="720" w:hanging="360"/>
      </w:pPr>
      <w:rPr>
        <w:rFonts w:ascii="Symbol" w:hAnsi="Symbol" w:hint="default"/>
      </w:rPr>
    </w:lvl>
    <w:lvl w:ilvl="1" w:tplc="00F86742">
      <w:numFmt w:val="bullet"/>
      <w:lvlText w:val="o"/>
      <w:lvlJc w:val="left"/>
      <w:pPr>
        <w:tabs>
          <w:tab w:val="num" w:pos="1440"/>
        </w:tabs>
        <w:ind w:left="1440" w:hanging="360"/>
      </w:pPr>
      <w:rPr>
        <w:rFonts w:ascii="Courier New" w:hAnsi="Courier New" w:hint="default"/>
      </w:rPr>
    </w:lvl>
    <w:lvl w:ilvl="2" w:tplc="B024DF20">
      <w:numFmt w:val="bullet"/>
      <w:lvlText w:val="-"/>
      <w:lvlJc w:val="left"/>
      <w:pPr>
        <w:tabs>
          <w:tab w:val="num" w:pos="2160"/>
        </w:tabs>
        <w:ind w:left="2160" w:hanging="360"/>
      </w:pPr>
      <w:rPr>
        <w:rFonts w:ascii="Times" w:hAnsi="Times" w:hint="default"/>
      </w:rPr>
    </w:lvl>
    <w:lvl w:ilvl="3" w:tplc="7496282C" w:tentative="1">
      <w:start w:val="1"/>
      <w:numFmt w:val="bullet"/>
      <w:lvlText w:val=""/>
      <w:lvlJc w:val="left"/>
      <w:pPr>
        <w:tabs>
          <w:tab w:val="num" w:pos="2880"/>
        </w:tabs>
        <w:ind w:left="2880" w:hanging="360"/>
      </w:pPr>
      <w:rPr>
        <w:rFonts w:ascii="Symbol" w:hAnsi="Symbol" w:hint="default"/>
      </w:rPr>
    </w:lvl>
    <w:lvl w:ilvl="4" w:tplc="80D63754" w:tentative="1">
      <w:start w:val="1"/>
      <w:numFmt w:val="bullet"/>
      <w:lvlText w:val=""/>
      <w:lvlJc w:val="left"/>
      <w:pPr>
        <w:tabs>
          <w:tab w:val="num" w:pos="3600"/>
        </w:tabs>
        <w:ind w:left="3600" w:hanging="360"/>
      </w:pPr>
      <w:rPr>
        <w:rFonts w:ascii="Symbol" w:hAnsi="Symbol" w:hint="default"/>
      </w:rPr>
    </w:lvl>
    <w:lvl w:ilvl="5" w:tplc="F460CEF2" w:tentative="1">
      <w:start w:val="1"/>
      <w:numFmt w:val="bullet"/>
      <w:lvlText w:val=""/>
      <w:lvlJc w:val="left"/>
      <w:pPr>
        <w:tabs>
          <w:tab w:val="num" w:pos="4320"/>
        </w:tabs>
        <w:ind w:left="4320" w:hanging="360"/>
      </w:pPr>
      <w:rPr>
        <w:rFonts w:ascii="Symbol" w:hAnsi="Symbol" w:hint="default"/>
      </w:rPr>
    </w:lvl>
    <w:lvl w:ilvl="6" w:tplc="9AF67338" w:tentative="1">
      <w:start w:val="1"/>
      <w:numFmt w:val="bullet"/>
      <w:lvlText w:val=""/>
      <w:lvlJc w:val="left"/>
      <w:pPr>
        <w:tabs>
          <w:tab w:val="num" w:pos="5040"/>
        </w:tabs>
        <w:ind w:left="5040" w:hanging="360"/>
      </w:pPr>
      <w:rPr>
        <w:rFonts w:ascii="Symbol" w:hAnsi="Symbol" w:hint="default"/>
      </w:rPr>
    </w:lvl>
    <w:lvl w:ilvl="7" w:tplc="BB449D88" w:tentative="1">
      <w:start w:val="1"/>
      <w:numFmt w:val="bullet"/>
      <w:lvlText w:val=""/>
      <w:lvlJc w:val="left"/>
      <w:pPr>
        <w:tabs>
          <w:tab w:val="num" w:pos="5760"/>
        </w:tabs>
        <w:ind w:left="5760" w:hanging="360"/>
      </w:pPr>
      <w:rPr>
        <w:rFonts w:ascii="Symbol" w:hAnsi="Symbol" w:hint="default"/>
      </w:rPr>
    </w:lvl>
    <w:lvl w:ilvl="8" w:tplc="122204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32"/>
  </w:num>
  <w:num w:numId="2" w16cid:durableId="1026641740">
    <w:abstractNumId w:val="36"/>
  </w:num>
  <w:num w:numId="3" w16cid:durableId="246964601">
    <w:abstractNumId w:val="10"/>
  </w:num>
  <w:num w:numId="4" w16cid:durableId="1159736746">
    <w:abstractNumId w:val="29"/>
  </w:num>
  <w:num w:numId="5" w16cid:durableId="1268349213">
    <w:abstractNumId w:val="16"/>
  </w:num>
  <w:num w:numId="6" w16cid:durableId="1108936666">
    <w:abstractNumId w:val="17"/>
  </w:num>
  <w:num w:numId="7" w16cid:durableId="2016303556">
    <w:abstractNumId w:val="12"/>
  </w:num>
  <w:num w:numId="8" w16cid:durableId="1622417201">
    <w:abstractNumId w:val="34"/>
  </w:num>
  <w:num w:numId="9" w16cid:durableId="947351773">
    <w:abstractNumId w:val="19"/>
  </w:num>
  <w:num w:numId="10" w16cid:durableId="951018392">
    <w:abstractNumId w:val="3"/>
  </w:num>
  <w:num w:numId="11" w16cid:durableId="548733559">
    <w:abstractNumId w:val="11"/>
  </w:num>
  <w:num w:numId="12" w16cid:durableId="868222976">
    <w:abstractNumId w:val="8"/>
  </w:num>
  <w:num w:numId="13" w16cid:durableId="617679950">
    <w:abstractNumId w:val="14"/>
  </w:num>
  <w:num w:numId="14" w16cid:durableId="1408334211">
    <w:abstractNumId w:val="28"/>
  </w:num>
  <w:num w:numId="15" w16cid:durableId="443110202">
    <w:abstractNumId w:val="5"/>
  </w:num>
  <w:num w:numId="16" w16cid:durableId="583760598">
    <w:abstractNumId w:val="22"/>
  </w:num>
  <w:num w:numId="17" w16cid:durableId="1633709311">
    <w:abstractNumId w:val="18"/>
  </w:num>
  <w:num w:numId="18" w16cid:durableId="1099985603">
    <w:abstractNumId w:val="27"/>
  </w:num>
  <w:num w:numId="19" w16cid:durableId="1779063664">
    <w:abstractNumId w:val="23"/>
  </w:num>
  <w:num w:numId="20" w16cid:durableId="1978991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4"/>
  </w:num>
  <w:num w:numId="23" w16cid:durableId="1680038448">
    <w:abstractNumId w:val="1"/>
  </w:num>
  <w:num w:numId="24" w16cid:durableId="1153330229">
    <w:abstractNumId w:val="4"/>
  </w:num>
  <w:num w:numId="25" w16cid:durableId="2101295538">
    <w:abstractNumId w:val="9"/>
  </w:num>
  <w:num w:numId="26" w16cid:durableId="1574272513">
    <w:abstractNumId w:val="0"/>
  </w:num>
  <w:num w:numId="27" w16cid:durableId="1435860189">
    <w:abstractNumId w:val="2"/>
  </w:num>
  <w:num w:numId="28" w16cid:durableId="603000825">
    <w:abstractNumId w:val="35"/>
  </w:num>
  <w:num w:numId="29" w16cid:durableId="1345594049">
    <w:abstractNumId w:val="6"/>
  </w:num>
  <w:num w:numId="30" w16cid:durableId="796488200">
    <w:abstractNumId w:val="15"/>
  </w:num>
  <w:num w:numId="31" w16cid:durableId="486938150">
    <w:abstractNumId w:val="13"/>
  </w:num>
  <w:num w:numId="32" w16cid:durableId="2059428871">
    <w:abstractNumId w:val="21"/>
  </w:num>
  <w:num w:numId="33" w16cid:durableId="726487540">
    <w:abstractNumId w:val="33"/>
  </w:num>
  <w:num w:numId="34" w16cid:durableId="102918060">
    <w:abstractNumId w:val="26"/>
  </w:num>
  <w:num w:numId="35" w16cid:durableId="448470761">
    <w:abstractNumId w:val="25"/>
  </w:num>
  <w:num w:numId="36" w16cid:durableId="2083522690">
    <w:abstractNumId w:val="4"/>
  </w:num>
  <w:num w:numId="37" w16cid:durableId="1742437521">
    <w:abstractNumId w:val="30"/>
  </w:num>
  <w:num w:numId="38" w16cid:durableId="2093772949">
    <w:abstractNumId w:val="20"/>
  </w:num>
  <w:num w:numId="39" w16cid:durableId="1931425929">
    <w:abstractNumId w:val="31"/>
  </w:num>
  <w:num w:numId="40" w16cid:durableId="458840918">
    <w:abstractNumId w:val="24"/>
  </w:num>
  <w:num w:numId="41" w16cid:durableId="6476608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AA"/>
    <w:rsid w:val="000005BD"/>
    <w:rsid w:val="00000835"/>
    <w:rsid w:val="00000B8D"/>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4B2A"/>
    <w:rsid w:val="000051A4"/>
    <w:rsid w:val="000054B4"/>
    <w:rsid w:val="000054F7"/>
    <w:rsid w:val="000056C4"/>
    <w:rsid w:val="000059A2"/>
    <w:rsid w:val="00005BA8"/>
    <w:rsid w:val="00005CB4"/>
    <w:rsid w:val="00006008"/>
    <w:rsid w:val="00006692"/>
    <w:rsid w:val="000071A7"/>
    <w:rsid w:val="00007263"/>
    <w:rsid w:val="00007483"/>
    <w:rsid w:val="00007916"/>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3EDF"/>
    <w:rsid w:val="0001480E"/>
    <w:rsid w:val="00014A38"/>
    <w:rsid w:val="00014FD8"/>
    <w:rsid w:val="000150E7"/>
    <w:rsid w:val="00015715"/>
    <w:rsid w:val="0001572F"/>
    <w:rsid w:val="00015882"/>
    <w:rsid w:val="000158FC"/>
    <w:rsid w:val="00015AA1"/>
    <w:rsid w:val="00015BBE"/>
    <w:rsid w:val="000168DE"/>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C88"/>
    <w:rsid w:val="00037EA6"/>
    <w:rsid w:val="0004003E"/>
    <w:rsid w:val="00040A40"/>
    <w:rsid w:val="00040BAD"/>
    <w:rsid w:val="00040BC1"/>
    <w:rsid w:val="00040D18"/>
    <w:rsid w:val="0004128F"/>
    <w:rsid w:val="0004156C"/>
    <w:rsid w:val="00041836"/>
    <w:rsid w:val="00041B06"/>
    <w:rsid w:val="00041E8D"/>
    <w:rsid w:val="00041EEA"/>
    <w:rsid w:val="00041F19"/>
    <w:rsid w:val="00042894"/>
    <w:rsid w:val="00042C82"/>
    <w:rsid w:val="00042E74"/>
    <w:rsid w:val="00043036"/>
    <w:rsid w:val="00043E63"/>
    <w:rsid w:val="000442A5"/>
    <w:rsid w:val="000446AE"/>
    <w:rsid w:val="00044ACC"/>
    <w:rsid w:val="0004510F"/>
    <w:rsid w:val="00045192"/>
    <w:rsid w:val="000453AE"/>
    <w:rsid w:val="00045402"/>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0C7"/>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7A1"/>
    <w:rsid w:val="0007085D"/>
    <w:rsid w:val="000708B2"/>
    <w:rsid w:val="00070971"/>
    <w:rsid w:val="00070EDA"/>
    <w:rsid w:val="000710A9"/>
    <w:rsid w:val="00071219"/>
    <w:rsid w:val="00071461"/>
    <w:rsid w:val="000717AB"/>
    <w:rsid w:val="000719F1"/>
    <w:rsid w:val="00071B78"/>
    <w:rsid w:val="00071C0F"/>
    <w:rsid w:val="00071ED4"/>
    <w:rsid w:val="0007215B"/>
    <w:rsid w:val="00073303"/>
    <w:rsid w:val="0007379D"/>
    <w:rsid w:val="00073940"/>
    <w:rsid w:val="00073967"/>
    <w:rsid w:val="000739B6"/>
    <w:rsid w:val="00074024"/>
    <w:rsid w:val="000753C8"/>
    <w:rsid w:val="000755DB"/>
    <w:rsid w:val="0007568C"/>
    <w:rsid w:val="0007591E"/>
    <w:rsid w:val="00075A0E"/>
    <w:rsid w:val="00075BB7"/>
    <w:rsid w:val="0007600A"/>
    <w:rsid w:val="00076239"/>
    <w:rsid w:val="0007690F"/>
    <w:rsid w:val="00076EBE"/>
    <w:rsid w:val="000770BF"/>
    <w:rsid w:val="0007748A"/>
    <w:rsid w:val="000778EA"/>
    <w:rsid w:val="000803A0"/>
    <w:rsid w:val="000803A8"/>
    <w:rsid w:val="000807F7"/>
    <w:rsid w:val="00080DCB"/>
    <w:rsid w:val="00081405"/>
    <w:rsid w:val="00081524"/>
    <w:rsid w:val="00081619"/>
    <w:rsid w:val="00081DD5"/>
    <w:rsid w:val="00082B6C"/>
    <w:rsid w:val="0008338C"/>
    <w:rsid w:val="000836F8"/>
    <w:rsid w:val="00083793"/>
    <w:rsid w:val="0008397A"/>
    <w:rsid w:val="00083B28"/>
    <w:rsid w:val="00083B56"/>
    <w:rsid w:val="00083C98"/>
    <w:rsid w:val="00083CFB"/>
    <w:rsid w:val="00085A5C"/>
    <w:rsid w:val="00085F4F"/>
    <w:rsid w:val="000865D7"/>
    <w:rsid w:val="000872FD"/>
    <w:rsid w:val="00087E13"/>
    <w:rsid w:val="00087EB5"/>
    <w:rsid w:val="00087F01"/>
    <w:rsid w:val="00087FB3"/>
    <w:rsid w:val="0009048D"/>
    <w:rsid w:val="00090597"/>
    <w:rsid w:val="0009068D"/>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50A7"/>
    <w:rsid w:val="00095395"/>
    <w:rsid w:val="000953DA"/>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C22"/>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01"/>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E5"/>
    <w:rsid w:val="000F7DE4"/>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466"/>
    <w:rsid w:val="00123472"/>
    <w:rsid w:val="00123656"/>
    <w:rsid w:val="00123A9A"/>
    <w:rsid w:val="00123AE5"/>
    <w:rsid w:val="00123B6C"/>
    <w:rsid w:val="00123B70"/>
    <w:rsid w:val="00123F2E"/>
    <w:rsid w:val="0012406B"/>
    <w:rsid w:val="0012418D"/>
    <w:rsid w:val="00124354"/>
    <w:rsid w:val="001243DE"/>
    <w:rsid w:val="00124469"/>
    <w:rsid w:val="00124518"/>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561"/>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ECB"/>
    <w:rsid w:val="00134EE6"/>
    <w:rsid w:val="00135362"/>
    <w:rsid w:val="001355DD"/>
    <w:rsid w:val="00135AC8"/>
    <w:rsid w:val="00135BC5"/>
    <w:rsid w:val="00135BF0"/>
    <w:rsid w:val="00135EBE"/>
    <w:rsid w:val="0013603D"/>
    <w:rsid w:val="0013606F"/>
    <w:rsid w:val="00136097"/>
    <w:rsid w:val="001361F8"/>
    <w:rsid w:val="00136301"/>
    <w:rsid w:val="0013639B"/>
    <w:rsid w:val="00137388"/>
    <w:rsid w:val="00137406"/>
    <w:rsid w:val="00137DCB"/>
    <w:rsid w:val="00140620"/>
    <w:rsid w:val="00140912"/>
    <w:rsid w:val="00140C2F"/>
    <w:rsid w:val="00141692"/>
    <w:rsid w:val="00141883"/>
    <w:rsid w:val="00141D92"/>
    <w:rsid w:val="001421D9"/>
    <w:rsid w:val="00142434"/>
    <w:rsid w:val="00142AC2"/>
    <w:rsid w:val="00142E06"/>
    <w:rsid w:val="00143099"/>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553"/>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6F86"/>
    <w:rsid w:val="001A7215"/>
    <w:rsid w:val="001A7288"/>
    <w:rsid w:val="001A73D0"/>
    <w:rsid w:val="001A7862"/>
    <w:rsid w:val="001A7A0B"/>
    <w:rsid w:val="001A7C28"/>
    <w:rsid w:val="001B006A"/>
    <w:rsid w:val="001B00F1"/>
    <w:rsid w:val="001B059D"/>
    <w:rsid w:val="001B05DC"/>
    <w:rsid w:val="001B05EC"/>
    <w:rsid w:val="001B063B"/>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D0"/>
    <w:rsid w:val="001B7952"/>
    <w:rsid w:val="001B79EC"/>
    <w:rsid w:val="001B7A83"/>
    <w:rsid w:val="001B7C8B"/>
    <w:rsid w:val="001B7D32"/>
    <w:rsid w:val="001B7E74"/>
    <w:rsid w:val="001B7F1A"/>
    <w:rsid w:val="001C02A4"/>
    <w:rsid w:val="001C04C4"/>
    <w:rsid w:val="001C0B85"/>
    <w:rsid w:val="001C0EBB"/>
    <w:rsid w:val="001C0F66"/>
    <w:rsid w:val="001C1150"/>
    <w:rsid w:val="001C13C9"/>
    <w:rsid w:val="001C148B"/>
    <w:rsid w:val="001C1999"/>
    <w:rsid w:val="001C1B84"/>
    <w:rsid w:val="001C1B9D"/>
    <w:rsid w:val="001C2648"/>
    <w:rsid w:val="001C2D55"/>
    <w:rsid w:val="001C2DC0"/>
    <w:rsid w:val="001C32EA"/>
    <w:rsid w:val="001C3363"/>
    <w:rsid w:val="001C3850"/>
    <w:rsid w:val="001C39C2"/>
    <w:rsid w:val="001C4A4F"/>
    <w:rsid w:val="001C4FC0"/>
    <w:rsid w:val="001C5988"/>
    <w:rsid w:val="001C5CA7"/>
    <w:rsid w:val="001C71AD"/>
    <w:rsid w:val="001C7851"/>
    <w:rsid w:val="001C7AB9"/>
    <w:rsid w:val="001C7F71"/>
    <w:rsid w:val="001D0042"/>
    <w:rsid w:val="001D02EC"/>
    <w:rsid w:val="001D0C92"/>
    <w:rsid w:val="001D0E47"/>
    <w:rsid w:val="001D0E91"/>
    <w:rsid w:val="001D0EC7"/>
    <w:rsid w:val="001D0EC8"/>
    <w:rsid w:val="001D1805"/>
    <w:rsid w:val="001D1FE4"/>
    <w:rsid w:val="001D2BF9"/>
    <w:rsid w:val="001D2C42"/>
    <w:rsid w:val="001D2E8A"/>
    <w:rsid w:val="001D324D"/>
    <w:rsid w:val="001D4108"/>
    <w:rsid w:val="001D4A9A"/>
    <w:rsid w:val="001D4B64"/>
    <w:rsid w:val="001D4F22"/>
    <w:rsid w:val="001D52BC"/>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4EC"/>
    <w:rsid w:val="001E0B11"/>
    <w:rsid w:val="001E0BFF"/>
    <w:rsid w:val="001E0C3D"/>
    <w:rsid w:val="001E0C82"/>
    <w:rsid w:val="001E1114"/>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EB0"/>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84C"/>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9AF"/>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2AE4"/>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07"/>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DD4"/>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B66"/>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991"/>
    <w:rsid w:val="002C4BDE"/>
    <w:rsid w:val="002C55D4"/>
    <w:rsid w:val="002C568D"/>
    <w:rsid w:val="002C595E"/>
    <w:rsid w:val="002C5AEE"/>
    <w:rsid w:val="002C5AFA"/>
    <w:rsid w:val="002C5B49"/>
    <w:rsid w:val="002C5CB8"/>
    <w:rsid w:val="002C5F01"/>
    <w:rsid w:val="002C6543"/>
    <w:rsid w:val="002C6B03"/>
    <w:rsid w:val="002C6C4A"/>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816"/>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438"/>
    <w:rsid w:val="003046F4"/>
    <w:rsid w:val="00304844"/>
    <w:rsid w:val="00304C1C"/>
    <w:rsid w:val="00304E10"/>
    <w:rsid w:val="00304E18"/>
    <w:rsid w:val="0030520F"/>
    <w:rsid w:val="0030540E"/>
    <w:rsid w:val="00305ACE"/>
    <w:rsid w:val="00305BB0"/>
    <w:rsid w:val="00306005"/>
    <w:rsid w:val="0030631C"/>
    <w:rsid w:val="00306EFD"/>
    <w:rsid w:val="00307CF3"/>
    <w:rsid w:val="00307F8C"/>
    <w:rsid w:val="00310299"/>
    <w:rsid w:val="0031054C"/>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1B"/>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71B"/>
    <w:rsid w:val="003347D4"/>
    <w:rsid w:val="003351C5"/>
    <w:rsid w:val="00335411"/>
    <w:rsid w:val="00335A95"/>
    <w:rsid w:val="00335D82"/>
    <w:rsid w:val="00335F79"/>
    <w:rsid w:val="00335FE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AE2"/>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079F"/>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5F47"/>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02"/>
    <w:rsid w:val="0039337B"/>
    <w:rsid w:val="00393E22"/>
    <w:rsid w:val="00393F61"/>
    <w:rsid w:val="00394005"/>
    <w:rsid w:val="0039402D"/>
    <w:rsid w:val="003945F8"/>
    <w:rsid w:val="00394EBD"/>
    <w:rsid w:val="003954F3"/>
    <w:rsid w:val="00395564"/>
    <w:rsid w:val="00395A7F"/>
    <w:rsid w:val="00395E8B"/>
    <w:rsid w:val="00396027"/>
    <w:rsid w:val="0039619E"/>
    <w:rsid w:val="00396756"/>
    <w:rsid w:val="00396839"/>
    <w:rsid w:val="00396ACE"/>
    <w:rsid w:val="0039728C"/>
    <w:rsid w:val="0039737E"/>
    <w:rsid w:val="003975AB"/>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18"/>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B7C3D"/>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4FD"/>
    <w:rsid w:val="003C56D7"/>
    <w:rsid w:val="003C612B"/>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05"/>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380"/>
    <w:rsid w:val="00402317"/>
    <w:rsid w:val="00402545"/>
    <w:rsid w:val="00402FC7"/>
    <w:rsid w:val="004034D6"/>
    <w:rsid w:val="00403722"/>
    <w:rsid w:val="004037BE"/>
    <w:rsid w:val="0040382E"/>
    <w:rsid w:val="00403E03"/>
    <w:rsid w:val="004040F4"/>
    <w:rsid w:val="004043A8"/>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3DE"/>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4B7"/>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206"/>
    <w:rsid w:val="00473ACD"/>
    <w:rsid w:val="00474496"/>
    <w:rsid w:val="004746EB"/>
    <w:rsid w:val="00474C64"/>
    <w:rsid w:val="004755DD"/>
    <w:rsid w:val="004757D8"/>
    <w:rsid w:val="00475B6D"/>
    <w:rsid w:val="00476089"/>
    <w:rsid w:val="0047643A"/>
    <w:rsid w:val="00476E9A"/>
    <w:rsid w:val="0047719C"/>
    <w:rsid w:val="004771A6"/>
    <w:rsid w:val="00477234"/>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3C8"/>
    <w:rsid w:val="004C08E6"/>
    <w:rsid w:val="004C0D98"/>
    <w:rsid w:val="004C16BE"/>
    <w:rsid w:val="004C1B10"/>
    <w:rsid w:val="004C1C2A"/>
    <w:rsid w:val="004C200F"/>
    <w:rsid w:val="004C202E"/>
    <w:rsid w:val="004C251F"/>
    <w:rsid w:val="004C2814"/>
    <w:rsid w:val="004C29EE"/>
    <w:rsid w:val="004C2C99"/>
    <w:rsid w:val="004C33AA"/>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02"/>
    <w:rsid w:val="004D1930"/>
    <w:rsid w:val="004D1D2E"/>
    <w:rsid w:val="004D1F11"/>
    <w:rsid w:val="004D2412"/>
    <w:rsid w:val="004D2467"/>
    <w:rsid w:val="004D28B5"/>
    <w:rsid w:val="004D2D7D"/>
    <w:rsid w:val="004D2F2E"/>
    <w:rsid w:val="004D2F48"/>
    <w:rsid w:val="004D3117"/>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B"/>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E7B"/>
    <w:rsid w:val="00522033"/>
    <w:rsid w:val="005224F5"/>
    <w:rsid w:val="0052272B"/>
    <w:rsid w:val="00522960"/>
    <w:rsid w:val="00522987"/>
    <w:rsid w:val="00522AFD"/>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C"/>
    <w:rsid w:val="0053604D"/>
    <w:rsid w:val="00536311"/>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AA2"/>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C21"/>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3A1"/>
    <w:rsid w:val="00566410"/>
    <w:rsid w:val="005668A6"/>
    <w:rsid w:val="00566FB3"/>
    <w:rsid w:val="00567449"/>
    <w:rsid w:val="00567D33"/>
    <w:rsid w:val="00570183"/>
    <w:rsid w:val="0057075B"/>
    <w:rsid w:val="00570BA3"/>
    <w:rsid w:val="00570C2B"/>
    <w:rsid w:val="005710D1"/>
    <w:rsid w:val="00571624"/>
    <w:rsid w:val="005716D6"/>
    <w:rsid w:val="00571DEE"/>
    <w:rsid w:val="0057211F"/>
    <w:rsid w:val="00572519"/>
    <w:rsid w:val="0057295C"/>
    <w:rsid w:val="00572A54"/>
    <w:rsid w:val="00572EDC"/>
    <w:rsid w:val="005731D9"/>
    <w:rsid w:val="00573284"/>
    <w:rsid w:val="0057352C"/>
    <w:rsid w:val="005736AE"/>
    <w:rsid w:val="0057378E"/>
    <w:rsid w:val="00573EAE"/>
    <w:rsid w:val="005746F0"/>
    <w:rsid w:val="005749D0"/>
    <w:rsid w:val="00574E78"/>
    <w:rsid w:val="0057514B"/>
    <w:rsid w:val="00575934"/>
    <w:rsid w:val="00575A6E"/>
    <w:rsid w:val="00576BF9"/>
    <w:rsid w:val="00576C59"/>
    <w:rsid w:val="005773DA"/>
    <w:rsid w:val="00577A70"/>
    <w:rsid w:val="00577B2F"/>
    <w:rsid w:val="00580240"/>
    <w:rsid w:val="005804F1"/>
    <w:rsid w:val="005805E1"/>
    <w:rsid w:val="0058088B"/>
    <w:rsid w:val="005809F8"/>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697"/>
    <w:rsid w:val="00594ADC"/>
    <w:rsid w:val="0059550E"/>
    <w:rsid w:val="00595846"/>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1A49"/>
    <w:rsid w:val="005C25E2"/>
    <w:rsid w:val="005C2665"/>
    <w:rsid w:val="005C280A"/>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4C9"/>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9DD"/>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8FB"/>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2F2C"/>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AEE"/>
    <w:rsid w:val="00602023"/>
    <w:rsid w:val="00602485"/>
    <w:rsid w:val="00602601"/>
    <w:rsid w:val="00602815"/>
    <w:rsid w:val="006029E3"/>
    <w:rsid w:val="006031C0"/>
    <w:rsid w:val="006031D7"/>
    <w:rsid w:val="00603400"/>
    <w:rsid w:val="006035BC"/>
    <w:rsid w:val="006036B4"/>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17F3D"/>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743B"/>
    <w:rsid w:val="00627869"/>
    <w:rsid w:val="00627B34"/>
    <w:rsid w:val="00627C1F"/>
    <w:rsid w:val="00627F57"/>
    <w:rsid w:val="00630071"/>
    <w:rsid w:val="00630093"/>
    <w:rsid w:val="006300B6"/>
    <w:rsid w:val="0063046E"/>
    <w:rsid w:val="0063079C"/>
    <w:rsid w:val="0063101D"/>
    <w:rsid w:val="0063124C"/>
    <w:rsid w:val="006313B9"/>
    <w:rsid w:val="00631882"/>
    <w:rsid w:val="00631A95"/>
    <w:rsid w:val="00631C99"/>
    <w:rsid w:val="00631D2C"/>
    <w:rsid w:val="0063201F"/>
    <w:rsid w:val="00632033"/>
    <w:rsid w:val="006326FB"/>
    <w:rsid w:val="00632A0F"/>
    <w:rsid w:val="00632F59"/>
    <w:rsid w:val="00633327"/>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4DA"/>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A4D"/>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B4A"/>
    <w:rsid w:val="0066262B"/>
    <w:rsid w:val="0066275C"/>
    <w:rsid w:val="006627FD"/>
    <w:rsid w:val="00662DCF"/>
    <w:rsid w:val="00662F61"/>
    <w:rsid w:val="00662FFE"/>
    <w:rsid w:val="00663576"/>
    <w:rsid w:val="00663707"/>
    <w:rsid w:val="00663939"/>
    <w:rsid w:val="006639C5"/>
    <w:rsid w:val="00663B4A"/>
    <w:rsid w:val="00663E5F"/>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1FF0"/>
    <w:rsid w:val="00682179"/>
    <w:rsid w:val="006821A9"/>
    <w:rsid w:val="006823D6"/>
    <w:rsid w:val="00682516"/>
    <w:rsid w:val="006827C5"/>
    <w:rsid w:val="006828D2"/>
    <w:rsid w:val="00682954"/>
    <w:rsid w:val="00683339"/>
    <w:rsid w:val="0068338F"/>
    <w:rsid w:val="00683B27"/>
    <w:rsid w:val="00683E56"/>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1EAF"/>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86A"/>
    <w:rsid w:val="00697B30"/>
    <w:rsid w:val="00697B63"/>
    <w:rsid w:val="00697D15"/>
    <w:rsid w:val="00697EA8"/>
    <w:rsid w:val="006A0357"/>
    <w:rsid w:val="006A046A"/>
    <w:rsid w:val="006A08CC"/>
    <w:rsid w:val="006A0B5D"/>
    <w:rsid w:val="006A0B90"/>
    <w:rsid w:val="006A0FD1"/>
    <w:rsid w:val="006A1911"/>
    <w:rsid w:val="006A1B9D"/>
    <w:rsid w:val="006A1D53"/>
    <w:rsid w:val="006A1F4B"/>
    <w:rsid w:val="006A2399"/>
    <w:rsid w:val="006A294A"/>
    <w:rsid w:val="006A2B7B"/>
    <w:rsid w:val="006A2D4C"/>
    <w:rsid w:val="006A3445"/>
    <w:rsid w:val="006A3BE4"/>
    <w:rsid w:val="006A3C5C"/>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924"/>
    <w:rsid w:val="006E7A2A"/>
    <w:rsid w:val="006E7DDA"/>
    <w:rsid w:val="006F0382"/>
    <w:rsid w:val="006F0829"/>
    <w:rsid w:val="006F0F1C"/>
    <w:rsid w:val="006F114A"/>
    <w:rsid w:val="006F1DE9"/>
    <w:rsid w:val="006F1E7F"/>
    <w:rsid w:val="006F3060"/>
    <w:rsid w:val="006F3086"/>
    <w:rsid w:val="006F32EF"/>
    <w:rsid w:val="006F363E"/>
    <w:rsid w:val="006F3B59"/>
    <w:rsid w:val="006F3DDE"/>
    <w:rsid w:val="006F3E60"/>
    <w:rsid w:val="006F419C"/>
    <w:rsid w:val="006F4228"/>
    <w:rsid w:val="006F4281"/>
    <w:rsid w:val="006F47BD"/>
    <w:rsid w:val="006F4963"/>
    <w:rsid w:val="006F4F8A"/>
    <w:rsid w:val="006F5098"/>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AEC"/>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04A"/>
    <w:rsid w:val="00787172"/>
    <w:rsid w:val="0078757A"/>
    <w:rsid w:val="007877C6"/>
    <w:rsid w:val="00787BA2"/>
    <w:rsid w:val="00787C11"/>
    <w:rsid w:val="00787E31"/>
    <w:rsid w:val="00790255"/>
    <w:rsid w:val="007902CC"/>
    <w:rsid w:val="00790DCE"/>
    <w:rsid w:val="00791074"/>
    <w:rsid w:val="007918DF"/>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C6"/>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7"/>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B3E"/>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C28"/>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3FB"/>
    <w:rsid w:val="00875F0F"/>
    <w:rsid w:val="008763CF"/>
    <w:rsid w:val="008763DA"/>
    <w:rsid w:val="00876445"/>
    <w:rsid w:val="008764D8"/>
    <w:rsid w:val="00876589"/>
    <w:rsid w:val="0087664C"/>
    <w:rsid w:val="008766E3"/>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360"/>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5FA6"/>
    <w:rsid w:val="008964EB"/>
    <w:rsid w:val="0089662A"/>
    <w:rsid w:val="00896674"/>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C75"/>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C5D"/>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D5F"/>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494"/>
    <w:rsid w:val="00907BF3"/>
    <w:rsid w:val="009100E5"/>
    <w:rsid w:val="00910941"/>
    <w:rsid w:val="00910965"/>
    <w:rsid w:val="00910A04"/>
    <w:rsid w:val="00910B4D"/>
    <w:rsid w:val="00910EBE"/>
    <w:rsid w:val="00910F45"/>
    <w:rsid w:val="009111DE"/>
    <w:rsid w:val="00911344"/>
    <w:rsid w:val="00911A2A"/>
    <w:rsid w:val="00911E01"/>
    <w:rsid w:val="009120B0"/>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454"/>
    <w:rsid w:val="009507E6"/>
    <w:rsid w:val="0095083E"/>
    <w:rsid w:val="009517D0"/>
    <w:rsid w:val="009517FE"/>
    <w:rsid w:val="00951BE6"/>
    <w:rsid w:val="00952009"/>
    <w:rsid w:val="0095204D"/>
    <w:rsid w:val="009522ED"/>
    <w:rsid w:val="009529C6"/>
    <w:rsid w:val="009529CD"/>
    <w:rsid w:val="00952B91"/>
    <w:rsid w:val="00953057"/>
    <w:rsid w:val="0095379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6A2"/>
    <w:rsid w:val="0097083D"/>
    <w:rsid w:val="00970B81"/>
    <w:rsid w:val="00970FFA"/>
    <w:rsid w:val="00971132"/>
    <w:rsid w:val="0097121C"/>
    <w:rsid w:val="00971A52"/>
    <w:rsid w:val="00971BEC"/>
    <w:rsid w:val="00972446"/>
    <w:rsid w:val="009728BB"/>
    <w:rsid w:val="00972CCB"/>
    <w:rsid w:val="00972CE6"/>
    <w:rsid w:val="0097315B"/>
    <w:rsid w:val="009732B0"/>
    <w:rsid w:val="0097362F"/>
    <w:rsid w:val="00973816"/>
    <w:rsid w:val="00973D73"/>
    <w:rsid w:val="00973DA9"/>
    <w:rsid w:val="00973E71"/>
    <w:rsid w:val="00974917"/>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09"/>
    <w:rsid w:val="009833BF"/>
    <w:rsid w:val="00983634"/>
    <w:rsid w:val="009837AF"/>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0ED2"/>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4C"/>
    <w:rsid w:val="009B496E"/>
    <w:rsid w:val="009B49D2"/>
    <w:rsid w:val="009B4FD3"/>
    <w:rsid w:val="009B5393"/>
    <w:rsid w:val="009B5570"/>
    <w:rsid w:val="009B5747"/>
    <w:rsid w:val="009B5CA3"/>
    <w:rsid w:val="009B5DBC"/>
    <w:rsid w:val="009B5E74"/>
    <w:rsid w:val="009B6CD5"/>
    <w:rsid w:val="009B72DA"/>
    <w:rsid w:val="009B768F"/>
    <w:rsid w:val="009B770B"/>
    <w:rsid w:val="009B79FA"/>
    <w:rsid w:val="009B7B86"/>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61A"/>
    <w:rsid w:val="009F59A6"/>
    <w:rsid w:val="009F5F1F"/>
    <w:rsid w:val="009F5FB5"/>
    <w:rsid w:val="009F6512"/>
    <w:rsid w:val="009F6AD1"/>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09"/>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B06"/>
    <w:rsid w:val="00A21404"/>
    <w:rsid w:val="00A21ED6"/>
    <w:rsid w:val="00A2203C"/>
    <w:rsid w:val="00A222E3"/>
    <w:rsid w:val="00A2238B"/>
    <w:rsid w:val="00A22760"/>
    <w:rsid w:val="00A227A9"/>
    <w:rsid w:val="00A22818"/>
    <w:rsid w:val="00A22C84"/>
    <w:rsid w:val="00A22CB0"/>
    <w:rsid w:val="00A22CD0"/>
    <w:rsid w:val="00A2315A"/>
    <w:rsid w:val="00A2375D"/>
    <w:rsid w:val="00A237EB"/>
    <w:rsid w:val="00A237F3"/>
    <w:rsid w:val="00A23AC2"/>
    <w:rsid w:val="00A24175"/>
    <w:rsid w:val="00A24BEE"/>
    <w:rsid w:val="00A24D21"/>
    <w:rsid w:val="00A24E78"/>
    <w:rsid w:val="00A2523C"/>
    <w:rsid w:val="00A253C2"/>
    <w:rsid w:val="00A25653"/>
    <w:rsid w:val="00A25981"/>
    <w:rsid w:val="00A259A5"/>
    <w:rsid w:val="00A25AD7"/>
    <w:rsid w:val="00A26CAB"/>
    <w:rsid w:val="00A2729E"/>
    <w:rsid w:val="00A27DE7"/>
    <w:rsid w:val="00A302C9"/>
    <w:rsid w:val="00A3032D"/>
    <w:rsid w:val="00A3054F"/>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7C4"/>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83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0F6A"/>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6289"/>
    <w:rsid w:val="00A76728"/>
    <w:rsid w:val="00A77347"/>
    <w:rsid w:val="00A7781B"/>
    <w:rsid w:val="00A77A11"/>
    <w:rsid w:val="00A77B6C"/>
    <w:rsid w:val="00A77BC9"/>
    <w:rsid w:val="00A77F23"/>
    <w:rsid w:val="00A8086E"/>
    <w:rsid w:val="00A80B98"/>
    <w:rsid w:val="00A810F1"/>
    <w:rsid w:val="00A8128B"/>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1F6"/>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3F9"/>
    <w:rsid w:val="00AA0845"/>
    <w:rsid w:val="00AA084D"/>
    <w:rsid w:val="00AA0AB3"/>
    <w:rsid w:val="00AA0C00"/>
    <w:rsid w:val="00AA0DCF"/>
    <w:rsid w:val="00AA0E5E"/>
    <w:rsid w:val="00AA1129"/>
    <w:rsid w:val="00AA11E8"/>
    <w:rsid w:val="00AA1886"/>
    <w:rsid w:val="00AA1F16"/>
    <w:rsid w:val="00AA2055"/>
    <w:rsid w:val="00AA21D4"/>
    <w:rsid w:val="00AA2461"/>
    <w:rsid w:val="00AA2699"/>
    <w:rsid w:val="00AA2743"/>
    <w:rsid w:val="00AA278B"/>
    <w:rsid w:val="00AA283C"/>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9AA"/>
    <w:rsid w:val="00AA6A95"/>
    <w:rsid w:val="00AA71EE"/>
    <w:rsid w:val="00AA7331"/>
    <w:rsid w:val="00AA788D"/>
    <w:rsid w:val="00AA7DE2"/>
    <w:rsid w:val="00AB002C"/>
    <w:rsid w:val="00AB03A7"/>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9D6"/>
    <w:rsid w:val="00AC29DF"/>
    <w:rsid w:val="00AC2A11"/>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7299"/>
    <w:rsid w:val="00AC7324"/>
    <w:rsid w:val="00AC78A2"/>
    <w:rsid w:val="00AC7E3D"/>
    <w:rsid w:val="00AC7E97"/>
    <w:rsid w:val="00AD012C"/>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796"/>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2BF"/>
    <w:rsid w:val="00AF6B9D"/>
    <w:rsid w:val="00AF6CED"/>
    <w:rsid w:val="00AF6DAD"/>
    <w:rsid w:val="00AF6F41"/>
    <w:rsid w:val="00AF740C"/>
    <w:rsid w:val="00B00635"/>
    <w:rsid w:val="00B00776"/>
    <w:rsid w:val="00B008CA"/>
    <w:rsid w:val="00B00908"/>
    <w:rsid w:val="00B00910"/>
    <w:rsid w:val="00B00D10"/>
    <w:rsid w:val="00B012F2"/>
    <w:rsid w:val="00B014F3"/>
    <w:rsid w:val="00B01FF3"/>
    <w:rsid w:val="00B022F7"/>
    <w:rsid w:val="00B0275E"/>
    <w:rsid w:val="00B028AD"/>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66"/>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57E"/>
    <w:rsid w:val="00B13612"/>
    <w:rsid w:val="00B136CD"/>
    <w:rsid w:val="00B13871"/>
    <w:rsid w:val="00B13D97"/>
    <w:rsid w:val="00B1442F"/>
    <w:rsid w:val="00B14A35"/>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2F8F"/>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279"/>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77F"/>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0BE"/>
    <w:rsid w:val="00B74B04"/>
    <w:rsid w:val="00B74F6E"/>
    <w:rsid w:val="00B750BF"/>
    <w:rsid w:val="00B75484"/>
    <w:rsid w:val="00B756A2"/>
    <w:rsid w:val="00B75850"/>
    <w:rsid w:val="00B7614E"/>
    <w:rsid w:val="00B76368"/>
    <w:rsid w:val="00B76511"/>
    <w:rsid w:val="00B766BA"/>
    <w:rsid w:val="00B76CDA"/>
    <w:rsid w:val="00B76D2A"/>
    <w:rsid w:val="00B76F61"/>
    <w:rsid w:val="00B77004"/>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72A"/>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5F7"/>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900"/>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0D1"/>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B4F"/>
    <w:rsid w:val="00C05BDC"/>
    <w:rsid w:val="00C05E4D"/>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614"/>
    <w:rsid w:val="00C20741"/>
    <w:rsid w:val="00C20965"/>
    <w:rsid w:val="00C2097D"/>
    <w:rsid w:val="00C20BF1"/>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BD0"/>
    <w:rsid w:val="00C27DA2"/>
    <w:rsid w:val="00C27EB7"/>
    <w:rsid w:val="00C27FF9"/>
    <w:rsid w:val="00C304B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A7E"/>
    <w:rsid w:val="00C45131"/>
    <w:rsid w:val="00C45754"/>
    <w:rsid w:val="00C45DAD"/>
    <w:rsid w:val="00C46050"/>
    <w:rsid w:val="00C46581"/>
    <w:rsid w:val="00C47146"/>
    <w:rsid w:val="00C471E7"/>
    <w:rsid w:val="00C477BC"/>
    <w:rsid w:val="00C47C60"/>
    <w:rsid w:val="00C47D0A"/>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9F"/>
    <w:rsid w:val="00C96FB9"/>
    <w:rsid w:val="00C97654"/>
    <w:rsid w:val="00C978A0"/>
    <w:rsid w:val="00CA077A"/>
    <w:rsid w:val="00CA0DCC"/>
    <w:rsid w:val="00CA0FD9"/>
    <w:rsid w:val="00CA141D"/>
    <w:rsid w:val="00CA1676"/>
    <w:rsid w:val="00CA169A"/>
    <w:rsid w:val="00CA1D3C"/>
    <w:rsid w:val="00CA2053"/>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6E2"/>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B4E"/>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6D7"/>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744"/>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B04"/>
    <w:rsid w:val="00D23CBB"/>
    <w:rsid w:val="00D242E4"/>
    <w:rsid w:val="00D243A6"/>
    <w:rsid w:val="00D243F6"/>
    <w:rsid w:val="00D2507F"/>
    <w:rsid w:val="00D25598"/>
    <w:rsid w:val="00D25B58"/>
    <w:rsid w:val="00D25BA7"/>
    <w:rsid w:val="00D25F1D"/>
    <w:rsid w:val="00D261A6"/>
    <w:rsid w:val="00D26BD0"/>
    <w:rsid w:val="00D26FF7"/>
    <w:rsid w:val="00D27138"/>
    <w:rsid w:val="00D271BF"/>
    <w:rsid w:val="00D2737E"/>
    <w:rsid w:val="00D27460"/>
    <w:rsid w:val="00D276A2"/>
    <w:rsid w:val="00D276AC"/>
    <w:rsid w:val="00D277A8"/>
    <w:rsid w:val="00D3003B"/>
    <w:rsid w:val="00D30217"/>
    <w:rsid w:val="00D303B8"/>
    <w:rsid w:val="00D307CF"/>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574"/>
    <w:rsid w:val="00D90725"/>
    <w:rsid w:val="00D91B47"/>
    <w:rsid w:val="00D91BA3"/>
    <w:rsid w:val="00D92149"/>
    <w:rsid w:val="00D92349"/>
    <w:rsid w:val="00D9242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D15"/>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3C8"/>
    <w:rsid w:val="00DA4901"/>
    <w:rsid w:val="00DA4B2C"/>
    <w:rsid w:val="00DA4EE8"/>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605"/>
    <w:rsid w:val="00DB57D5"/>
    <w:rsid w:val="00DB58F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CD"/>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C78"/>
    <w:rsid w:val="00DC3E46"/>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3CA9"/>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2CE"/>
    <w:rsid w:val="00DE1024"/>
    <w:rsid w:val="00DE1098"/>
    <w:rsid w:val="00DE1289"/>
    <w:rsid w:val="00DE1461"/>
    <w:rsid w:val="00DE1868"/>
    <w:rsid w:val="00DE1B46"/>
    <w:rsid w:val="00DE1C17"/>
    <w:rsid w:val="00DE1E90"/>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BC9"/>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042"/>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1A"/>
    <w:rsid w:val="00E13FAD"/>
    <w:rsid w:val="00E149EC"/>
    <w:rsid w:val="00E14BE6"/>
    <w:rsid w:val="00E14E39"/>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3F4"/>
    <w:rsid w:val="00E23539"/>
    <w:rsid w:val="00E23A68"/>
    <w:rsid w:val="00E24006"/>
    <w:rsid w:val="00E24206"/>
    <w:rsid w:val="00E244A7"/>
    <w:rsid w:val="00E244CC"/>
    <w:rsid w:val="00E24B84"/>
    <w:rsid w:val="00E24E2C"/>
    <w:rsid w:val="00E24FC6"/>
    <w:rsid w:val="00E253DD"/>
    <w:rsid w:val="00E257F0"/>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3"/>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A8A"/>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2E"/>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299"/>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19"/>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63"/>
    <w:rsid w:val="00EB7DF4"/>
    <w:rsid w:val="00EC029B"/>
    <w:rsid w:val="00EC09C4"/>
    <w:rsid w:val="00EC0C4E"/>
    <w:rsid w:val="00EC0E61"/>
    <w:rsid w:val="00EC142F"/>
    <w:rsid w:val="00EC1A23"/>
    <w:rsid w:val="00EC1BFD"/>
    <w:rsid w:val="00EC27EE"/>
    <w:rsid w:val="00EC2C7A"/>
    <w:rsid w:val="00EC329F"/>
    <w:rsid w:val="00EC333D"/>
    <w:rsid w:val="00EC33C9"/>
    <w:rsid w:val="00EC34A5"/>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0FB"/>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0FC0"/>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48F"/>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F0D"/>
    <w:rsid w:val="00F20475"/>
    <w:rsid w:val="00F204CE"/>
    <w:rsid w:val="00F206BF"/>
    <w:rsid w:val="00F2085A"/>
    <w:rsid w:val="00F20AFE"/>
    <w:rsid w:val="00F20C2F"/>
    <w:rsid w:val="00F20CDC"/>
    <w:rsid w:val="00F20DAE"/>
    <w:rsid w:val="00F21132"/>
    <w:rsid w:val="00F2168D"/>
    <w:rsid w:val="00F22635"/>
    <w:rsid w:val="00F22C56"/>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A55"/>
    <w:rsid w:val="00F26BEF"/>
    <w:rsid w:val="00F26DF9"/>
    <w:rsid w:val="00F270B4"/>
    <w:rsid w:val="00F270EC"/>
    <w:rsid w:val="00F2719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A85"/>
    <w:rsid w:val="00F37B08"/>
    <w:rsid w:val="00F37CE9"/>
    <w:rsid w:val="00F4015C"/>
    <w:rsid w:val="00F40481"/>
    <w:rsid w:val="00F40640"/>
    <w:rsid w:val="00F4092E"/>
    <w:rsid w:val="00F40A04"/>
    <w:rsid w:val="00F411E4"/>
    <w:rsid w:val="00F417F5"/>
    <w:rsid w:val="00F418D9"/>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FFA"/>
    <w:rsid w:val="00F450AC"/>
    <w:rsid w:val="00F45304"/>
    <w:rsid w:val="00F453AF"/>
    <w:rsid w:val="00F453B5"/>
    <w:rsid w:val="00F455AC"/>
    <w:rsid w:val="00F455E5"/>
    <w:rsid w:val="00F459DC"/>
    <w:rsid w:val="00F4653D"/>
    <w:rsid w:val="00F46A24"/>
    <w:rsid w:val="00F4736D"/>
    <w:rsid w:val="00F474C9"/>
    <w:rsid w:val="00F47781"/>
    <w:rsid w:val="00F50251"/>
    <w:rsid w:val="00F5043C"/>
    <w:rsid w:val="00F507BD"/>
    <w:rsid w:val="00F50A36"/>
    <w:rsid w:val="00F50ACD"/>
    <w:rsid w:val="00F50F34"/>
    <w:rsid w:val="00F51307"/>
    <w:rsid w:val="00F51520"/>
    <w:rsid w:val="00F51567"/>
    <w:rsid w:val="00F51899"/>
    <w:rsid w:val="00F5192C"/>
    <w:rsid w:val="00F51DB0"/>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6C0"/>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58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BEF"/>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9AF"/>
    <w:rsid w:val="00F93B5B"/>
    <w:rsid w:val="00F941D1"/>
    <w:rsid w:val="00F944BD"/>
    <w:rsid w:val="00F94689"/>
    <w:rsid w:val="00F94AE2"/>
    <w:rsid w:val="00F94F1C"/>
    <w:rsid w:val="00F95139"/>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9C"/>
    <w:rsid w:val="00FA24FD"/>
    <w:rsid w:val="00FA2559"/>
    <w:rsid w:val="00FA2620"/>
    <w:rsid w:val="00FA2B38"/>
    <w:rsid w:val="00FA2D7D"/>
    <w:rsid w:val="00FA327B"/>
    <w:rsid w:val="00FA328F"/>
    <w:rsid w:val="00FA36C1"/>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46"/>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AA9"/>
    <w:rsid w:val="00FD4B72"/>
    <w:rsid w:val="00FD5087"/>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796"/>
    <w:rsid w:val="00FE2B17"/>
    <w:rsid w:val="00FE30B8"/>
    <w:rsid w:val="00FE3195"/>
    <w:rsid w:val="00FE31D1"/>
    <w:rsid w:val="00FE33E2"/>
    <w:rsid w:val="00FE34CC"/>
    <w:rsid w:val="00FE3829"/>
    <w:rsid w:val="00FE38BB"/>
    <w:rsid w:val="00FE3B3B"/>
    <w:rsid w:val="00FE3D0F"/>
    <w:rsid w:val="00FE3F9B"/>
    <w:rsid w:val="00FE3FDE"/>
    <w:rsid w:val="00FE4652"/>
    <w:rsid w:val="00FE471D"/>
    <w:rsid w:val="00FE4A1E"/>
    <w:rsid w:val="00FE4B9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786A"/>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qFormat/>
    <w:rsid w:val="00313824"/>
    <w:rPr>
      <w:rFonts w:eastAsia="Malgun Gothic" w:cs="Batang"/>
      <w:lang w:val="en-GB" w:eastAsia="ko-KR"/>
    </w:rPr>
  </w:style>
  <w:style w:type="character" w:customStyle="1" w:styleId="TACChar">
    <w:name w:val="TAC Char"/>
    <w:link w:val="TAC"/>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character" w:customStyle="1" w:styleId="TALCar">
    <w:name w:val="TAL Car"/>
    <w:qFormat/>
    <w:locked/>
    <w:rsid w:val="006F32EF"/>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899049">
      <w:bodyDiv w:val="1"/>
      <w:marLeft w:val="0"/>
      <w:marRight w:val="0"/>
      <w:marTop w:val="0"/>
      <w:marBottom w:val="0"/>
      <w:divBdr>
        <w:top w:val="none" w:sz="0" w:space="0" w:color="auto"/>
        <w:left w:val="none" w:sz="0" w:space="0" w:color="auto"/>
        <w:bottom w:val="none" w:sz="0" w:space="0" w:color="auto"/>
        <w:right w:val="none" w:sz="0" w:space="0" w:color="auto"/>
      </w:divBdr>
      <w:divsChild>
        <w:div w:id="1706254060">
          <w:marLeft w:val="274"/>
          <w:marRight w:val="0"/>
          <w:marTop w:val="86"/>
          <w:marBottom w:val="0"/>
          <w:divBdr>
            <w:top w:val="none" w:sz="0" w:space="0" w:color="auto"/>
            <w:left w:val="none" w:sz="0" w:space="0" w:color="auto"/>
            <w:bottom w:val="none" w:sz="0" w:space="0" w:color="auto"/>
            <w:right w:val="none" w:sz="0" w:space="0" w:color="auto"/>
          </w:divBdr>
        </w:div>
        <w:div w:id="1841460719">
          <w:marLeft w:val="274"/>
          <w:marRight w:val="0"/>
          <w:marTop w:val="86"/>
          <w:marBottom w:val="0"/>
          <w:divBdr>
            <w:top w:val="none" w:sz="0" w:space="0" w:color="auto"/>
            <w:left w:val="none" w:sz="0" w:space="0" w:color="auto"/>
            <w:bottom w:val="none" w:sz="0" w:space="0" w:color="auto"/>
            <w:right w:val="none" w:sz="0" w:space="0" w:color="auto"/>
          </w:divBdr>
        </w:div>
        <w:div w:id="1279724350">
          <w:marLeft w:val="274"/>
          <w:marRight w:val="0"/>
          <w:marTop w:val="86"/>
          <w:marBottom w:val="0"/>
          <w:divBdr>
            <w:top w:val="none" w:sz="0" w:space="0" w:color="auto"/>
            <w:left w:val="none" w:sz="0" w:space="0" w:color="auto"/>
            <w:bottom w:val="none" w:sz="0" w:space="0" w:color="auto"/>
            <w:right w:val="none" w:sz="0" w:space="0" w:color="auto"/>
          </w:divBdr>
        </w:div>
        <w:div w:id="577978707">
          <w:marLeft w:val="907"/>
          <w:marRight w:val="0"/>
          <w:marTop w:val="77"/>
          <w:marBottom w:val="0"/>
          <w:divBdr>
            <w:top w:val="none" w:sz="0" w:space="0" w:color="auto"/>
            <w:left w:val="none" w:sz="0" w:space="0" w:color="auto"/>
            <w:bottom w:val="none" w:sz="0" w:space="0" w:color="auto"/>
            <w:right w:val="none" w:sz="0" w:space="0" w:color="auto"/>
          </w:divBdr>
        </w:div>
        <w:div w:id="1958221669">
          <w:marLeft w:val="274"/>
          <w:marRight w:val="0"/>
          <w:marTop w:val="86"/>
          <w:marBottom w:val="0"/>
          <w:divBdr>
            <w:top w:val="none" w:sz="0" w:space="0" w:color="auto"/>
            <w:left w:val="none" w:sz="0" w:space="0" w:color="auto"/>
            <w:bottom w:val="none" w:sz="0" w:space="0" w:color="auto"/>
            <w:right w:val="none" w:sz="0" w:space="0" w:color="auto"/>
          </w:divBdr>
        </w:div>
        <w:div w:id="1117524479">
          <w:marLeft w:val="274"/>
          <w:marRight w:val="0"/>
          <w:marTop w:val="86"/>
          <w:marBottom w:val="0"/>
          <w:divBdr>
            <w:top w:val="none" w:sz="0" w:space="0" w:color="auto"/>
            <w:left w:val="none" w:sz="0" w:space="0" w:color="auto"/>
            <w:bottom w:val="none" w:sz="0" w:space="0" w:color="auto"/>
            <w:right w:val="none" w:sz="0" w:space="0" w:color="auto"/>
          </w:divBdr>
        </w:div>
      </w:divsChild>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4539">
      <w:bodyDiv w:val="1"/>
      <w:marLeft w:val="0"/>
      <w:marRight w:val="0"/>
      <w:marTop w:val="0"/>
      <w:marBottom w:val="0"/>
      <w:divBdr>
        <w:top w:val="none" w:sz="0" w:space="0" w:color="auto"/>
        <w:left w:val="none" w:sz="0" w:space="0" w:color="auto"/>
        <w:bottom w:val="none" w:sz="0" w:space="0" w:color="auto"/>
        <w:right w:val="none" w:sz="0" w:space="0" w:color="auto"/>
      </w:divBdr>
      <w:divsChild>
        <w:div w:id="845243118">
          <w:marLeft w:val="547"/>
          <w:marRight w:val="0"/>
          <w:marTop w:val="0"/>
          <w:marBottom w:val="0"/>
          <w:divBdr>
            <w:top w:val="none" w:sz="0" w:space="0" w:color="auto"/>
            <w:left w:val="none" w:sz="0" w:space="0" w:color="auto"/>
            <w:bottom w:val="none" w:sz="0" w:space="0" w:color="auto"/>
            <w:right w:val="none" w:sz="0" w:space="0" w:color="auto"/>
          </w:divBdr>
        </w:div>
        <w:div w:id="68239670">
          <w:marLeft w:val="1166"/>
          <w:marRight w:val="0"/>
          <w:marTop w:val="0"/>
          <w:marBottom w:val="0"/>
          <w:divBdr>
            <w:top w:val="none" w:sz="0" w:space="0" w:color="auto"/>
            <w:left w:val="none" w:sz="0" w:space="0" w:color="auto"/>
            <w:bottom w:val="none" w:sz="0" w:space="0" w:color="auto"/>
            <w:right w:val="none" w:sz="0" w:space="0" w:color="auto"/>
          </w:divBdr>
        </w:div>
        <w:div w:id="1630235679">
          <w:marLeft w:val="1800"/>
          <w:marRight w:val="0"/>
          <w:marTop w:val="0"/>
          <w:marBottom w:val="0"/>
          <w:divBdr>
            <w:top w:val="none" w:sz="0" w:space="0" w:color="auto"/>
            <w:left w:val="none" w:sz="0" w:space="0" w:color="auto"/>
            <w:bottom w:val="none" w:sz="0" w:space="0" w:color="auto"/>
            <w:right w:val="none" w:sz="0" w:space="0" w:color="auto"/>
          </w:divBdr>
        </w:div>
        <w:div w:id="45763210">
          <w:marLeft w:val="1800"/>
          <w:marRight w:val="0"/>
          <w:marTop w:val="0"/>
          <w:marBottom w:val="0"/>
          <w:divBdr>
            <w:top w:val="none" w:sz="0" w:space="0" w:color="auto"/>
            <w:left w:val="none" w:sz="0" w:space="0" w:color="auto"/>
            <w:bottom w:val="none" w:sz="0" w:space="0" w:color="auto"/>
            <w:right w:val="none" w:sz="0" w:space="0" w:color="auto"/>
          </w:divBdr>
        </w:div>
        <w:div w:id="99645809">
          <w:marLeft w:val="1800"/>
          <w:marRight w:val="0"/>
          <w:marTop w:val="0"/>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64958498">
      <w:bodyDiv w:val="1"/>
      <w:marLeft w:val="0"/>
      <w:marRight w:val="0"/>
      <w:marTop w:val="0"/>
      <w:marBottom w:val="0"/>
      <w:divBdr>
        <w:top w:val="none" w:sz="0" w:space="0" w:color="auto"/>
        <w:left w:val="none" w:sz="0" w:space="0" w:color="auto"/>
        <w:bottom w:val="none" w:sz="0" w:space="0" w:color="auto"/>
        <w:right w:val="none" w:sz="0" w:space="0" w:color="auto"/>
      </w:divBdr>
      <w:divsChild>
        <w:div w:id="1281836020">
          <w:marLeft w:val="547"/>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6604162">
      <w:bodyDiv w:val="1"/>
      <w:marLeft w:val="0"/>
      <w:marRight w:val="0"/>
      <w:marTop w:val="0"/>
      <w:marBottom w:val="0"/>
      <w:divBdr>
        <w:top w:val="none" w:sz="0" w:space="0" w:color="auto"/>
        <w:left w:val="none" w:sz="0" w:space="0" w:color="auto"/>
        <w:bottom w:val="none" w:sz="0" w:space="0" w:color="auto"/>
        <w:right w:val="none" w:sz="0" w:space="0" w:color="auto"/>
      </w:divBdr>
      <w:divsChild>
        <w:div w:id="534733852">
          <w:marLeft w:val="547"/>
          <w:marRight w:val="0"/>
          <w:marTop w:val="82"/>
          <w:marBottom w:val="0"/>
          <w:divBdr>
            <w:top w:val="none" w:sz="0" w:space="0" w:color="auto"/>
            <w:left w:val="none" w:sz="0" w:space="0" w:color="auto"/>
            <w:bottom w:val="none" w:sz="0" w:space="0" w:color="auto"/>
            <w:right w:val="none" w:sz="0" w:space="0" w:color="auto"/>
          </w:divBdr>
        </w:div>
        <w:div w:id="402533680">
          <w:marLeft w:val="1166"/>
          <w:marRight w:val="0"/>
          <w:marTop w:val="72"/>
          <w:marBottom w:val="0"/>
          <w:divBdr>
            <w:top w:val="none" w:sz="0" w:space="0" w:color="auto"/>
            <w:left w:val="none" w:sz="0" w:space="0" w:color="auto"/>
            <w:bottom w:val="none" w:sz="0" w:space="0" w:color="auto"/>
            <w:right w:val="none" w:sz="0" w:space="0" w:color="auto"/>
          </w:divBdr>
        </w:div>
        <w:div w:id="1103957180">
          <w:marLeft w:val="547"/>
          <w:marRight w:val="0"/>
          <w:marTop w:val="82"/>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440899">
      <w:bodyDiv w:val="1"/>
      <w:marLeft w:val="0"/>
      <w:marRight w:val="0"/>
      <w:marTop w:val="0"/>
      <w:marBottom w:val="0"/>
      <w:divBdr>
        <w:top w:val="none" w:sz="0" w:space="0" w:color="auto"/>
        <w:left w:val="none" w:sz="0" w:space="0" w:color="auto"/>
        <w:bottom w:val="none" w:sz="0" w:space="0" w:color="auto"/>
        <w:right w:val="none" w:sz="0" w:space="0" w:color="auto"/>
      </w:divBdr>
      <w:divsChild>
        <w:div w:id="1271357564">
          <w:marLeft w:val="547"/>
          <w:marRight w:val="0"/>
          <w:marTop w:val="0"/>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8855717">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845213">
      <w:bodyDiv w:val="1"/>
      <w:marLeft w:val="0"/>
      <w:marRight w:val="0"/>
      <w:marTop w:val="0"/>
      <w:marBottom w:val="0"/>
      <w:divBdr>
        <w:top w:val="none" w:sz="0" w:space="0" w:color="auto"/>
        <w:left w:val="none" w:sz="0" w:space="0" w:color="auto"/>
        <w:bottom w:val="none" w:sz="0" w:space="0" w:color="auto"/>
        <w:right w:val="none" w:sz="0" w:space="0" w:color="auto"/>
      </w:divBdr>
      <w:divsChild>
        <w:div w:id="1494564715">
          <w:marLeft w:val="1166"/>
          <w:marRight w:val="0"/>
          <w:marTop w:val="6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324870">
      <w:bodyDiv w:val="1"/>
      <w:marLeft w:val="0"/>
      <w:marRight w:val="0"/>
      <w:marTop w:val="0"/>
      <w:marBottom w:val="0"/>
      <w:divBdr>
        <w:top w:val="none" w:sz="0" w:space="0" w:color="auto"/>
        <w:left w:val="none" w:sz="0" w:space="0" w:color="auto"/>
        <w:bottom w:val="none" w:sz="0" w:space="0" w:color="auto"/>
        <w:right w:val="none" w:sz="0" w:space="0" w:color="auto"/>
      </w:divBdr>
      <w:divsChild>
        <w:div w:id="615871939">
          <w:marLeft w:val="547"/>
          <w:marRight w:val="0"/>
          <w:marTop w:val="0"/>
          <w:marBottom w:val="0"/>
          <w:divBdr>
            <w:top w:val="none" w:sz="0" w:space="0" w:color="auto"/>
            <w:left w:val="none" w:sz="0" w:space="0" w:color="auto"/>
            <w:bottom w:val="none" w:sz="0" w:space="0" w:color="auto"/>
            <w:right w:val="none" w:sz="0" w:space="0" w:color="auto"/>
          </w:divBdr>
        </w:div>
        <w:div w:id="2087989529">
          <w:marLeft w:val="1166"/>
          <w:marRight w:val="0"/>
          <w:marTop w:val="0"/>
          <w:marBottom w:val="0"/>
          <w:divBdr>
            <w:top w:val="none" w:sz="0" w:space="0" w:color="auto"/>
            <w:left w:val="none" w:sz="0" w:space="0" w:color="auto"/>
            <w:bottom w:val="none" w:sz="0" w:space="0" w:color="auto"/>
            <w:right w:val="none" w:sz="0" w:space="0" w:color="auto"/>
          </w:divBdr>
        </w:div>
        <w:div w:id="734623024">
          <w:marLeft w:val="1800"/>
          <w:marRight w:val="0"/>
          <w:marTop w:val="0"/>
          <w:marBottom w:val="0"/>
          <w:divBdr>
            <w:top w:val="none" w:sz="0" w:space="0" w:color="auto"/>
            <w:left w:val="none" w:sz="0" w:space="0" w:color="auto"/>
            <w:bottom w:val="none" w:sz="0" w:space="0" w:color="auto"/>
            <w:right w:val="none" w:sz="0" w:space="0" w:color="auto"/>
          </w:divBdr>
        </w:div>
        <w:div w:id="1585870001">
          <w:marLeft w:val="1800"/>
          <w:marRight w:val="0"/>
          <w:marTop w:val="0"/>
          <w:marBottom w:val="0"/>
          <w:divBdr>
            <w:top w:val="none" w:sz="0" w:space="0" w:color="auto"/>
            <w:left w:val="none" w:sz="0" w:space="0" w:color="auto"/>
            <w:bottom w:val="none" w:sz="0" w:space="0" w:color="auto"/>
            <w:right w:val="none" w:sz="0" w:space="0" w:color="auto"/>
          </w:divBdr>
        </w:div>
        <w:div w:id="891041116">
          <w:marLeft w:val="1800"/>
          <w:marRight w:val="0"/>
          <w:marTop w:val="0"/>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205713">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49099544">
      <w:bodyDiv w:val="1"/>
      <w:marLeft w:val="0"/>
      <w:marRight w:val="0"/>
      <w:marTop w:val="0"/>
      <w:marBottom w:val="0"/>
      <w:divBdr>
        <w:top w:val="none" w:sz="0" w:space="0" w:color="auto"/>
        <w:left w:val="none" w:sz="0" w:space="0" w:color="auto"/>
        <w:bottom w:val="none" w:sz="0" w:space="0" w:color="auto"/>
        <w:right w:val="none" w:sz="0" w:space="0" w:color="auto"/>
      </w:divBdr>
      <w:divsChild>
        <w:div w:id="1392726806">
          <w:marLeft w:val="547"/>
          <w:marRight w:val="0"/>
          <w:marTop w:val="0"/>
          <w:marBottom w:val="0"/>
          <w:divBdr>
            <w:top w:val="none" w:sz="0" w:space="0" w:color="auto"/>
            <w:left w:val="none" w:sz="0" w:space="0" w:color="auto"/>
            <w:bottom w:val="none" w:sz="0" w:space="0" w:color="auto"/>
            <w:right w:val="none" w:sz="0" w:space="0" w:color="auto"/>
          </w:divBdr>
        </w:div>
        <w:div w:id="738988321">
          <w:marLeft w:val="1166"/>
          <w:marRight w:val="0"/>
          <w:marTop w:val="0"/>
          <w:marBottom w:val="0"/>
          <w:divBdr>
            <w:top w:val="none" w:sz="0" w:space="0" w:color="auto"/>
            <w:left w:val="none" w:sz="0" w:space="0" w:color="auto"/>
            <w:bottom w:val="none" w:sz="0" w:space="0" w:color="auto"/>
            <w:right w:val="none" w:sz="0" w:space="0" w:color="auto"/>
          </w:divBdr>
        </w:div>
        <w:div w:id="100802196">
          <w:marLeft w:val="1800"/>
          <w:marRight w:val="0"/>
          <w:marTop w:val="0"/>
          <w:marBottom w:val="0"/>
          <w:divBdr>
            <w:top w:val="none" w:sz="0" w:space="0" w:color="auto"/>
            <w:left w:val="none" w:sz="0" w:space="0" w:color="auto"/>
            <w:bottom w:val="none" w:sz="0" w:space="0" w:color="auto"/>
            <w:right w:val="none" w:sz="0" w:space="0" w:color="auto"/>
          </w:divBdr>
        </w:div>
        <w:div w:id="602422113">
          <w:marLeft w:val="1800"/>
          <w:marRight w:val="0"/>
          <w:marTop w:val="0"/>
          <w:marBottom w:val="0"/>
          <w:divBdr>
            <w:top w:val="none" w:sz="0" w:space="0" w:color="auto"/>
            <w:left w:val="none" w:sz="0" w:space="0" w:color="auto"/>
            <w:bottom w:val="none" w:sz="0" w:space="0" w:color="auto"/>
            <w:right w:val="none" w:sz="0" w:space="0" w:color="auto"/>
          </w:divBdr>
        </w:div>
        <w:div w:id="1862621284">
          <w:marLeft w:val="1800"/>
          <w:marRight w:val="0"/>
          <w:marTop w:val="0"/>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6546969">
      <w:bodyDiv w:val="1"/>
      <w:marLeft w:val="0"/>
      <w:marRight w:val="0"/>
      <w:marTop w:val="0"/>
      <w:marBottom w:val="0"/>
      <w:divBdr>
        <w:top w:val="none" w:sz="0" w:space="0" w:color="auto"/>
        <w:left w:val="none" w:sz="0" w:space="0" w:color="auto"/>
        <w:bottom w:val="none" w:sz="0" w:space="0" w:color="auto"/>
        <w:right w:val="none" w:sz="0" w:space="0" w:color="auto"/>
      </w:divBdr>
      <w:divsChild>
        <w:div w:id="67388300">
          <w:marLeft w:val="274"/>
          <w:marRight w:val="0"/>
          <w:marTop w:val="86"/>
          <w:marBottom w:val="0"/>
          <w:divBdr>
            <w:top w:val="none" w:sz="0" w:space="0" w:color="auto"/>
            <w:left w:val="none" w:sz="0" w:space="0" w:color="auto"/>
            <w:bottom w:val="none" w:sz="0" w:space="0" w:color="auto"/>
            <w:right w:val="none" w:sz="0" w:space="0" w:color="auto"/>
          </w:divBdr>
        </w:div>
        <w:div w:id="1837382893">
          <w:marLeft w:val="274"/>
          <w:marRight w:val="0"/>
          <w:marTop w:val="86"/>
          <w:marBottom w:val="0"/>
          <w:divBdr>
            <w:top w:val="none" w:sz="0" w:space="0" w:color="auto"/>
            <w:left w:val="none" w:sz="0" w:space="0" w:color="auto"/>
            <w:bottom w:val="none" w:sz="0" w:space="0" w:color="auto"/>
            <w:right w:val="none" w:sz="0" w:space="0" w:color="auto"/>
          </w:divBdr>
        </w:div>
        <w:div w:id="1710953676">
          <w:marLeft w:val="274"/>
          <w:marRight w:val="0"/>
          <w:marTop w:val="86"/>
          <w:marBottom w:val="0"/>
          <w:divBdr>
            <w:top w:val="none" w:sz="0" w:space="0" w:color="auto"/>
            <w:left w:val="none" w:sz="0" w:space="0" w:color="auto"/>
            <w:bottom w:val="none" w:sz="0" w:space="0" w:color="auto"/>
            <w:right w:val="none" w:sz="0" w:space="0" w:color="auto"/>
          </w:divBdr>
        </w:div>
        <w:div w:id="1440419011">
          <w:marLeft w:val="907"/>
          <w:marRight w:val="0"/>
          <w:marTop w:val="77"/>
          <w:marBottom w:val="0"/>
          <w:divBdr>
            <w:top w:val="none" w:sz="0" w:space="0" w:color="auto"/>
            <w:left w:val="none" w:sz="0" w:space="0" w:color="auto"/>
            <w:bottom w:val="none" w:sz="0" w:space="0" w:color="auto"/>
            <w:right w:val="none" w:sz="0" w:space="0" w:color="auto"/>
          </w:divBdr>
        </w:div>
        <w:div w:id="311718919">
          <w:marLeft w:val="274"/>
          <w:marRight w:val="0"/>
          <w:marTop w:val="86"/>
          <w:marBottom w:val="0"/>
          <w:divBdr>
            <w:top w:val="none" w:sz="0" w:space="0" w:color="auto"/>
            <w:left w:val="none" w:sz="0" w:space="0" w:color="auto"/>
            <w:bottom w:val="none" w:sz="0" w:space="0" w:color="auto"/>
            <w:right w:val="none" w:sz="0" w:space="0" w:color="auto"/>
          </w:divBdr>
        </w:div>
        <w:div w:id="502820576">
          <w:marLeft w:val="274"/>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6966359">
      <w:bodyDiv w:val="1"/>
      <w:marLeft w:val="0"/>
      <w:marRight w:val="0"/>
      <w:marTop w:val="0"/>
      <w:marBottom w:val="0"/>
      <w:divBdr>
        <w:top w:val="none" w:sz="0" w:space="0" w:color="auto"/>
        <w:left w:val="none" w:sz="0" w:space="0" w:color="auto"/>
        <w:bottom w:val="none" w:sz="0" w:space="0" w:color="auto"/>
        <w:right w:val="none" w:sz="0" w:space="0" w:color="auto"/>
      </w:divBdr>
      <w:divsChild>
        <w:div w:id="650256709">
          <w:marLeft w:val="547"/>
          <w:marRight w:val="0"/>
          <w:marTop w:val="0"/>
          <w:marBottom w:val="0"/>
          <w:divBdr>
            <w:top w:val="none" w:sz="0" w:space="0" w:color="auto"/>
            <w:left w:val="none" w:sz="0" w:space="0" w:color="auto"/>
            <w:bottom w:val="none" w:sz="0" w:space="0" w:color="auto"/>
            <w:right w:val="none" w:sz="0" w:space="0" w:color="auto"/>
          </w:divBdr>
        </w:div>
        <w:div w:id="2106530238">
          <w:marLeft w:val="1166"/>
          <w:marRight w:val="0"/>
          <w:marTop w:val="0"/>
          <w:marBottom w:val="0"/>
          <w:divBdr>
            <w:top w:val="none" w:sz="0" w:space="0" w:color="auto"/>
            <w:left w:val="none" w:sz="0" w:space="0" w:color="auto"/>
            <w:bottom w:val="none" w:sz="0" w:space="0" w:color="auto"/>
            <w:right w:val="none" w:sz="0" w:space="0" w:color="auto"/>
          </w:divBdr>
        </w:div>
        <w:div w:id="127169236">
          <w:marLeft w:val="1800"/>
          <w:marRight w:val="0"/>
          <w:marTop w:val="0"/>
          <w:marBottom w:val="0"/>
          <w:divBdr>
            <w:top w:val="none" w:sz="0" w:space="0" w:color="auto"/>
            <w:left w:val="none" w:sz="0" w:space="0" w:color="auto"/>
            <w:bottom w:val="none" w:sz="0" w:space="0" w:color="auto"/>
            <w:right w:val="none" w:sz="0" w:space="0" w:color="auto"/>
          </w:divBdr>
        </w:div>
        <w:div w:id="656374535">
          <w:marLeft w:val="1800"/>
          <w:marRight w:val="0"/>
          <w:marTop w:val="0"/>
          <w:marBottom w:val="0"/>
          <w:divBdr>
            <w:top w:val="none" w:sz="0" w:space="0" w:color="auto"/>
            <w:left w:val="none" w:sz="0" w:space="0" w:color="auto"/>
            <w:bottom w:val="none" w:sz="0" w:space="0" w:color="auto"/>
            <w:right w:val="none" w:sz="0" w:space="0" w:color="auto"/>
          </w:divBdr>
        </w:div>
        <w:div w:id="320432033">
          <w:marLeft w:val="1800"/>
          <w:marRight w:val="0"/>
          <w:marTop w:val="0"/>
          <w:marBottom w:val="0"/>
          <w:divBdr>
            <w:top w:val="none" w:sz="0" w:space="0" w:color="auto"/>
            <w:left w:val="none" w:sz="0" w:space="0" w:color="auto"/>
            <w:bottom w:val="none" w:sz="0" w:space="0" w:color="auto"/>
            <w:right w:val="none" w:sz="0" w:space="0" w:color="auto"/>
          </w:divBdr>
        </w:div>
      </w:divsChild>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3674">
      <w:bodyDiv w:val="1"/>
      <w:marLeft w:val="0"/>
      <w:marRight w:val="0"/>
      <w:marTop w:val="0"/>
      <w:marBottom w:val="0"/>
      <w:divBdr>
        <w:top w:val="none" w:sz="0" w:space="0" w:color="auto"/>
        <w:left w:val="none" w:sz="0" w:space="0" w:color="auto"/>
        <w:bottom w:val="none" w:sz="0" w:space="0" w:color="auto"/>
        <w:right w:val="none" w:sz="0" w:space="0" w:color="auto"/>
      </w:divBdr>
      <w:divsChild>
        <w:div w:id="240142688">
          <w:marLeft w:val="547"/>
          <w:marRight w:val="0"/>
          <w:marTop w:val="82"/>
          <w:marBottom w:val="0"/>
          <w:divBdr>
            <w:top w:val="none" w:sz="0" w:space="0" w:color="auto"/>
            <w:left w:val="none" w:sz="0" w:space="0" w:color="auto"/>
            <w:bottom w:val="none" w:sz="0" w:space="0" w:color="auto"/>
            <w:right w:val="none" w:sz="0" w:space="0" w:color="auto"/>
          </w:divBdr>
        </w:div>
        <w:div w:id="1488932696">
          <w:marLeft w:val="994"/>
          <w:marRight w:val="0"/>
          <w:marTop w:val="72"/>
          <w:marBottom w:val="0"/>
          <w:divBdr>
            <w:top w:val="none" w:sz="0" w:space="0" w:color="auto"/>
            <w:left w:val="none" w:sz="0" w:space="0" w:color="auto"/>
            <w:bottom w:val="none" w:sz="0" w:space="0" w:color="auto"/>
            <w:right w:val="none" w:sz="0" w:space="0" w:color="auto"/>
          </w:divBdr>
        </w:div>
        <w:div w:id="1927424785">
          <w:marLeft w:val="994"/>
          <w:marRight w:val="0"/>
          <w:marTop w:val="72"/>
          <w:marBottom w:val="0"/>
          <w:divBdr>
            <w:top w:val="none" w:sz="0" w:space="0" w:color="auto"/>
            <w:left w:val="none" w:sz="0" w:space="0" w:color="auto"/>
            <w:bottom w:val="none" w:sz="0" w:space="0" w:color="auto"/>
            <w:right w:val="none" w:sz="0" w:space="0" w:color="auto"/>
          </w:divBdr>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1402417">
      <w:bodyDiv w:val="1"/>
      <w:marLeft w:val="0"/>
      <w:marRight w:val="0"/>
      <w:marTop w:val="0"/>
      <w:marBottom w:val="0"/>
      <w:divBdr>
        <w:top w:val="none" w:sz="0" w:space="0" w:color="auto"/>
        <w:left w:val="none" w:sz="0" w:space="0" w:color="auto"/>
        <w:bottom w:val="none" w:sz="0" w:space="0" w:color="auto"/>
        <w:right w:val="none" w:sz="0" w:space="0" w:color="auto"/>
      </w:divBdr>
      <w:divsChild>
        <w:div w:id="656418620">
          <w:marLeft w:val="547"/>
          <w:marRight w:val="0"/>
          <w:marTop w:val="82"/>
          <w:marBottom w:val="0"/>
          <w:divBdr>
            <w:top w:val="none" w:sz="0" w:space="0" w:color="auto"/>
            <w:left w:val="none" w:sz="0" w:space="0" w:color="auto"/>
            <w:bottom w:val="none" w:sz="0" w:space="0" w:color="auto"/>
            <w:right w:val="none" w:sz="0" w:space="0" w:color="auto"/>
          </w:divBdr>
        </w:div>
        <w:div w:id="1772432853">
          <w:marLeft w:val="1166"/>
          <w:marRight w:val="0"/>
          <w:marTop w:val="72"/>
          <w:marBottom w:val="0"/>
          <w:divBdr>
            <w:top w:val="none" w:sz="0" w:space="0" w:color="auto"/>
            <w:left w:val="none" w:sz="0" w:space="0" w:color="auto"/>
            <w:bottom w:val="none" w:sz="0" w:space="0" w:color="auto"/>
            <w:right w:val="none" w:sz="0" w:space="0" w:color="auto"/>
          </w:divBdr>
        </w:div>
        <w:div w:id="1951890144">
          <w:marLeft w:val="547"/>
          <w:marRight w:val="0"/>
          <w:marTop w:val="82"/>
          <w:marBottom w:val="0"/>
          <w:divBdr>
            <w:top w:val="none" w:sz="0" w:space="0" w:color="auto"/>
            <w:left w:val="none" w:sz="0" w:space="0" w:color="auto"/>
            <w:bottom w:val="none" w:sz="0" w:space="0" w:color="auto"/>
            <w:right w:val="none" w:sz="0" w:space="0" w:color="auto"/>
          </w:divBdr>
        </w:div>
        <w:div w:id="745764605">
          <w:marLeft w:val="1166"/>
          <w:marRight w:val="0"/>
          <w:marTop w:val="72"/>
          <w:marBottom w:val="0"/>
          <w:divBdr>
            <w:top w:val="none" w:sz="0" w:space="0" w:color="auto"/>
            <w:left w:val="none" w:sz="0" w:space="0" w:color="auto"/>
            <w:bottom w:val="none" w:sz="0" w:space="0" w:color="auto"/>
            <w:right w:val="none" w:sz="0" w:space="0" w:color="auto"/>
          </w:divBdr>
        </w:div>
        <w:div w:id="1579365139">
          <w:marLeft w:val="547"/>
          <w:marRight w:val="0"/>
          <w:marTop w:val="82"/>
          <w:marBottom w:val="0"/>
          <w:divBdr>
            <w:top w:val="none" w:sz="0" w:space="0" w:color="auto"/>
            <w:left w:val="none" w:sz="0" w:space="0" w:color="auto"/>
            <w:bottom w:val="none" w:sz="0" w:space="0" w:color="auto"/>
            <w:right w:val="none" w:sz="0" w:space="0" w:color="auto"/>
          </w:divBdr>
        </w:div>
        <w:div w:id="1357076077">
          <w:marLeft w:val="547"/>
          <w:marRight w:val="0"/>
          <w:marTop w:val="82"/>
          <w:marBottom w:val="0"/>
          <w:divBdr>
            <w:top w:val="none" w:sz="0" w:space="0" w:color="auto"/>
            <w:left w:val="none" w:sz="0" w:space="0" w:color="auto"/>
            <w:bottom w:val="none" w:sz="0" w:space="0" w:color="auto"/>
            <w:right w:val="none" w:sz="0" w:space="0" w:color="auto"/>
          </w:divBdr>
        </w:div>
        <w:div w:id="1820078159">
          <w:marLeft w:val="1166"/>
          <w:marRight w:val="0"/>
          <w:marTop w:val="72"/>
          <w:marBottom w:val="0"/>
          <w:divBdr>
            <w:top w:val="none" w:sz="0" w:space="0" w:color="auto"/>
            <w:left w:val="none" w:sz="0" w:space="0" w:color="auto"/>
            <w:bottom w:val="none" w:sz="0" w:space="0" w:color="auto"/>
            <w:right w:val="none" w:sz="0" w:space="0" w:color="auto"/>
          </w:divBdr>
        </w:div>
      </w:divsChild>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08501">
      <w:bodyDiv w:val="1"/>
      <w:marLeft w:val="0"/>
      <w:marRight w:val="0"/>
      <w:marTop w:val="0"/>
      <w:marBottom w:val="0"/>
      <w:divBdr>
        <w:top w:val="none" w:sz="0" w:space="0" w:color="auto"/>
        <w:left w:val="none" w:sz="0" w:space="0" w:color="auto"/>
        <w:bottom w:val="none" w:sz="0" w:space="0" w:color="auto"/>
        <w:right w:val="none" w:sz="0" w:space="0" w:color="auto"/>
      </w:divBdr>
      <w:divsChild>
        <w:div w:id="379984091">
          <w:marLeft w:val="547"/>
          <w:marRight w:val="0"/>
          <w:marTop w:val="82"/>
          <w:marBottom w:val="0"/>
          <w:divBdr>
            <w:top w:val="none" w:sz="0" w:space="0" w:color="auto"/>
            <w:left w:val="none" w:sz="0" w:space="0" w:color="auto"/>
            <w:bottom w:val="none" w:sz="0" w:space="0" w:color="auto"/>
            <w:right w:val="none" w:sz="0" w:space="0" w:color="auto"/>
          </w:divBdr>
        </w:div>
        <w:div w:id="2016956892">
          <w:marLeft w:val="547"/>
          <w:marRight w:val="0"/>
          <w:marTop w:val="82"/>
          <w:marBottom w:val="0"/>
          <w:divBdr>
            <w:top w:val="none" w:sz="0" w:space="0" w:color="auto"/>
            <w:left w:val="none" w:sz="0" w:space="0" w:color="auto"/>
            <w:bottom w:val="none" w:sz="0" w:space="0" w:color="auto"/>
            <w:right w:val="none" w:sz="0" w:space="0" w:color="auto"/>
          </w:divBdr>
        </w:div>
        <w:div w:id="1869684904">
          <w:marLeft w:val="1166"/>
          <w:marRight w:val="0"/>
          <w:marTop w:val="72"/>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67117240">
      <w:bodyDiv w:val="1"/>
      <w:marLeft w:val="0"/>
      <w:marRight w:val="0"/>
      <w:marTop w:val="0"/>
      <w:marBottom w:val="0"/>
      <w:divBdr>
        <w:top w:val="none" w:sz="0" w:space="0" w:color="auto"/>
        <w:left w:val="none" w:sz="0" w:space="0" w:color="auto"/>
        <w:bottom w:val="none" w:sz="0" w:space="0" w:color="auto"/>
        <w:right w:val="none" w:sz="0" w:space="0" w:color="auto"/>
      </w:divBdr>
      <w:divsChild>
        <w:div w:id="52629557">
          <w:marLeft w:val="547"/>
          <w:marRight w:val="0"/>
          <w:marTop w:val="82"/>
          <w:marBottom w:val="0"/>
          <w:divBdr>
            <w:top w:val="none" w:sz="0" w:space="0" w:color="auto"/>
            <w:left w:val="none" w:sz="0" w:space="0" w:color="auto"/>
            <w:bottom w:val="none" w:sz="0" w:space="0" w:color="auto"/>
            <w:right w:val="none" w:sz="0" w:space="0" w:color="auto"/>
          </w:divBdr>
        </w:div>
        <w:div w:id="662784642">
          <w:marLeft w:val="547"/>
          <w:marRight w:val="0"/>
          <w:marTop w:val="82"/>
          <w:marBottom w:val="0"/>
          <w:divBdr>
            <w:top w:val="none" w:sz="0" w:space="0" w:color="auto"/>
            <w:left w:val="none" w:sz="0" w:space="0" w:color="auto"/>
            <w:bottom w:val="none" w:sz="0" w:space="0" w:color="auto"/>
            <w:right w:val="none" w:sz="0" w:space="0" w:color="auto"/>
          </w:divBdr>
        </w:div>
        <w:div w:id="961227201">
          <w:marLeft w:val="547"/>
          <w:marRight w:val="0"/>
          <w:marTop w:val="82"/>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68244246">
      <w:bodyDiv w:val="1"/>
      <w:marLeft w:val="0"/>
      <w:marRight w:val="0"/>
      <w:marTop w:val="0"/>
      <w:marBottom w:val="0"/>
      <w:divBdr>
        <w:top w:val="none" w:sz="0" w:space="0" w:color="auto"/>
        <w:left w:val="none" w:sz="0" w:space="0" w:color="auto"/>
        <w:bottom w:val="none" w:sz="0" w:space="0" w:color="auto"/>
        <w:right w:val="none" w:sz="0" w:space="0" w:color="auto"/>
      </w:divBdr>
      <w:divsChild>
        <w:div w:id="1919361683">
          <w:marLeft w:val="547"/>
          <w:marRight w:val="0"/>
          <w:marTop w:val="0"/>
          <w:marBottom w:val="0"/>
          <w:divBdr>
            <w:top w:val="none" w:sz="0" w:space="0" w:color="auto"/>
            <w:left w:val="none" w:sz="0" w:space="0" w:color="auto"/>
            <w:bottom w:val="none" w:sz="0" w:space="0" w:color="auto"/>
            <w:right w:val="none" w:sz="0" w:space="0" w:color="auto"/>
          </w:divBdr>
        </w:div>
        <w:div w:id="863711510">
          <w:marLeft w:val="1166"/>
          <w:marRight w:val="0"/>
          <w:marTop w:val="0"/>
          <w:marBottom w:val="0"/>
          <w:divBdr>
            <w:top w:val="none" w:sz="0" w:space="0" w:color="auto"/>
            <w:left w:val="none" w:sz="0" w:space="0" w:color="auto"/>
            <w:bottom w:val="none" w:sz="0" w:space="0" w:color="auto"/>
            <w:right w:val="none" w:sz="0" w:space="0" w:color="auto"/>
          </w:divBdr>
        </w:div>
        <w:div w:id="1048648406">
          <w:marLeft w:val="1800"/>
          <w:marRight w:val="0"/>
          <w:marTop w:val="0"/>
          <w:marBottom w:val="0"/>
          <w:divBdr>
            <w:top w:val="none" w:sz="0" w:space="0" w:color="auto"/>
            <w:left w:val="none" w:sz="0" w:space="0" w:color="auto"/>
            <w:bottom w:val="none" w:sz="0" w:space="0" w:color="auto"/>
            <w:right w:val="none" w:sz="0" w:space="0" w:color="auto"/>
          </w:divBdr>
        </w:div>
        <w:div w:id="1120338770">
          <w:marLeft w:val="1800"/>
          <w:marRight w:val="0"/>
          <w:marTop w:val="0"/>
          <w:marBottom w:val="0"/>
          <w:divBdr>
            <w:top w:val="none" w:sz="0" w:space="0" w:color="auto"/>
            <w:left w:val="none" w:sz="0" w:space="0" w:color="auto"/>
            <w:bottom w:val="none" w:sz="0" w:space="0" w:color="auto"/>
            <w:right w:val="none" w:sz="0" w:space="0" w:color="auto"/>
          </w:divBdr>
        </w:div>
        <w:div w:id="1118527757">
          <w:marLeft w:val="1800"/>
          <w:marRight w:val="0"/>
          <w:marTop w:val="0"/>
          <w:marBottom w:val="0"/>
          <w:divBdr>
            <w:top w:val="none" w:sz="0" w:space="0" w:color="auto"/>
            <w:left w:val="none" w:sz="0" w:space="0" w:color="auto"/>
            <w:bottom w:val="none" w:sz="0" w:space="0" w:color="auto"/>
            <w:right w:val="none" w:sz="0" w:space="0" w:color="auto"/>
          </w:divBdr>
        </w:div>
        <w:div w:id="787550186">
          <w:marLeft w:val="1800"/>
          <w:marRight w:val="0"/>
          <w:marTop w:val="0"/>
          <w:marBottom w:val="0"/>
          <w:divBdr>
            <w:top w:val="none" w:sz="0" w:space="0" w:color="auto"/>
            <w:left w:val="none" w:sz="0" w:space="0" w:color="auto"/>
            <w:bottom w:val="none" w:sz="0" w:space="0" w:color="auto"/>
            <w:right w:val="none" w:sz="0" w:space="0" w:color="auto"/>
          </w:divBdr>
        </w:div>
        <w:div w:id="2006860103">
          <w:marLeft w:val="180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2685054">
      <w:bodyDiv w:val="1"/>
      <w:marLeft w:val="0"/>
      <w:marRight w:val="0"/>
      <w:marTop w:val="0"/>
      <w:marBottom w:val="0"/>
      <w:divBdr>
        <w:top w:val="none" w:sz="0" w:space="0" w:color="auto"/>
        <w:left w:val="none" w:sz="0" w:space="0" w:color="auto"/>
        <w:bottom w:val="none" w:sz="0" w:space="0" w:color="auto"/>
        <w:right w:val="none" w:sz="0" w:space="0" w:color="auto"/>
      </w:divBdr>
      <w:divsChild>
        <w:div w:id="329409998">
          <w:marLeft w:val="547"/>
          <w:marRight w:val="0"/>
          <w:marTop w:val="72"/>
          <w:marBottom w:val="0"/>
          <w:divBdr>
            <w:top w:val="none" w:sz="0" w:space="0" w:color="auto"/>
            <w:left w:val="none" w:sz="0" w:space="0" w:color="auto"/>
            <w:bottom w:val="none" w:sz="0" w:space="0" w:color="auto"/>
            <w:right w:val="none" w:sz="0" w:space="0" w:color="auto"/>
          </w:divBdr>
        </w:div>
        <w:div w:id="2012635259">
          <w:marLeft w:val="1166"/>
          <w:marRight w:val="0"/>
          <w:marTop w:val="62"/>
          <w:marBottom w:val="0"/>
          <w:divBdr>
            <w:top w:val="none" w:sz="0" w:space="0" w:color="auto"/>
            <w:left w:val="none" w:sz="0" w:space="0" w:color="auto"/>
            <w:bottom w:val="none" w:sz="0" w:space="0" w:color="auto"/>
            <w:right w:val="none" w:sz="0" w:space="0" w:color="auto"/>
          </w:divBdr>
        </w:div>
        <w:div w:id="1884318904">
          <w:marLeft w:val="1166"/>
          <w:marRight w:val="0"/>
          <w:marTop w:val="62"/>
          <w:marBottom w:val="0"/>
          <w:divBdr>
            <w:top w:val="none" w:sz="0" w:space="0" w:color="auto"/>
            <w:left w:val="none" w:sz="0" w:space="0" w:color="auto"/>
            <w:bottom w:val="none" w:sz="0" w:space="0" w:color="auto"/>
            <w:right w:val="none" w:sz="0" w:space="0" w:color="auto"/>
          </w:divBdr>
        </w:div>
        <w:div w:id="1634941148">
          <w:marLeft w:val="1166"/>
          <w:marRight w:val="0"/>
          <w:marTop w:val="62"/>
          <w:marBottom w:val="0"/>
          <w:divBdr>
            <w:top w:val="none" w:sz="0" w:space="0" w:color="auto"/>
            <w:left w:val="none" w:sz="0" w:space="0" w:color="auto"/>
            <w:bottom w:val="none" w:sz="0" w:space="0" w:color="auto"/>
            <w:right w:val="none" w:sz="0" w:space="0" w:color="auto"/>
          </w:divBdr>
        </w:div>
        <w:div w:id="893931155">
          <w:marLeft w:val="547"/>
          <w:marRight w:val="0"/>
          <w:marTop w:val="72"/>
          <w:marBottom w:val="0"/>
          <w:divBdr>
            <w:top w:val="none" w:sz="0" w:space="0" w:color="auto"/>
            <w:left w:val="none" w:sz="0" w:space="0" w:color="auto"/>
            <w:bottom w:val="none" w:sz="0" w:space="0" w:color="auto"/>
            <w:right w:val="none" w:sz="0" w:space="0" w:color="auto"/>
          </w:divBdr>
        </w:div>
        <w:div w:id="1135223621">
          <w:marLeft w:val="1166"/>
          <w:marRight w:val="0"/>
          <w:marTop w:val="62"/>
          <w:marBottom w:val="0"/>
          <w:divBdr>
            <w:top w:val="none" w:sz="0" w:space="0" w:color="auto"/>
            <w:left w:val="none" w:sz="0" w:space="0" w:color="auto"/>
            <w:bottom w:val="none" w:sz="0" w:space="0" w:color="auto"/>
            <w:right w:val="none" w:sz="0" w:space="0" w:color="auto"/>
          </w:divBdr>
        </w:div>
        <w:div w:id="307054251">
          <w:marLeft w:val="1166"/>
          <w:marRight w:val="0"/>
          <w:marTop w:val="62"/>
          <w:marBottom w:val="0"/>
          <w:divBdr>
            <w:top w:val="none" w:sz="0" w:space="0" w:color="auto"/>
            <w:left w:val="none" w:sz="0" w:space="0" w:color="auto"/>
            <w:bottom w:val="none" w:sz="0" w:space="0" w:color="auto"/>
            <w:right w:val="none" w:sz="0" w:space="0" w:color="auto"/>
          </w:divBdr>
        </w:div>
        <w:div w:id="1984115250">
          <w:marLeft w:val="1166"/>
          <w:marRight w:val="0"/>
          <w:marTop w:val="62"/>
          <w:marBottom w:val="0"/>
          <w:divBdr>
            <w:top w:val="none" w:sz="0" w:space="0" w:color="auto"/>
            <w:left w:val="none" w:sz="0" w:space="0" w:color="auto"/>
            <w:bottom w:val="none" w:sz="0" w:space="0" w:color="auto"/>
            <w:right w:val="none" w:sz="0" w:space="0" w:color="auto"/>
          </w:divBdr>
        </w:div>
        <w:div w:id="589050066">
          <w:marLeft w:val="1800"/>
          <w:marRight w:val="0"/>
          <w:marTop w:val="53"/>
          <w:marBottom w:val="0"/>
          <w:divBdr>
            <w:top w:val="none" w:sz="0" w:space="0" w:color="auto"/>
            <w:left w:val="none" w:sz="0" w:space="0" w:color="auto"/>
            <w:bottom w:val="none" w:sz="0" w:space="0" w:color="auto"/>
            <w:right w:val="none" w:sz="0" w:space="0" w:color="auto"/>
          </w:divBdr>
        </w:div>
        <w:div w:id="656953555">
          <w:marLeft w:val="547"/>
          <w:marRight w:val="0"/>
          <w:marTop w:val="72"/>
          <w:marBottom w:val="0"/>
          <w:divBdr>
            <w:top w:val="none" w:sz="0" w:space="0" w:color="auto"/>
            <w:left w:val="none" w:sz="0" w:space="0" w:color="auto"/>
            <w:bottom w:val="none" w:sz="0" w:space="0" w:color="auto"/>
            <w:right w:val="none" w:sz="0" w:space="0" w:color="auto"/>
          </w:divBdr>
        </w:div>
        <w:div w:id="2007636422">
          <w:marLeft w:val="1166"/>
          <w:marRight w:val="0"/>
          <w:marTop w:val="62"/>
          <w:marBottom w:val="0"/>
          <w:divBdr>
            <w:top w:val="none" w:sz="0" w:space="0" w:color="auto"/>
            <w:left w:val="none" w:sz="0" w:space="0" w:color="auto"/>
            <w:bottom w:val="none" w:sz="0" w:space="0" w:color="auto"/>
            <w:right w:val="none" w:sz="0" w:space="0" w:color="auto"/>
          </w:divBdr>
        </w:div>
        <w:div w:id="1638683470">
          <w:marLeft w:val="1800"/>
          <w:marRight w:val="0"/>
          <w:marTop w:val="53"/>
          <w:marBottom w:val="0"/>
          <w:divBdr>
            <w:top w:val="none" w:sz="0" w:space="0" w:color="auto"/>
            <w:left w:val="none" w:sz="0" w:space="0" w:color="auto"/>
            <w:bottom w:val="none" w:sz="0" w:space="0" w:color="auto"/>
            <w:right w:val="none" w:sz="0" w:space="0" w:color="auto"/>
          </w:divBdr>
        </w:div>
      </w:divsChild>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4639033">
      <w:bodyDiv w:val="1"/>
      <w:marLeft w:val="0"/>
      <w:marRight w:val="0"/>
      <w:marTop w:val="0"/>
      <w:marBottom w:val="0"/>
      <w:divBdr>
        <w:top w:val="none" w:sz="0" w:space="0" w:color="auto"/>
        <w:left w:val="none" w:sz="0" w:space="0" w:color="auto"/>
        <w:bottom w:val="none" w:sz="0" w:space="0" w:color="auto"/>
        <w:right w:val="none" w:sz="0" w:space="0" w:color="auto"/>
      </w:divBdr>
      <w:divsChild>
        <w:div w:id="1919057000">
          <w:marLeft w:val="547"/>
          <w:marRight w:val="0"/>
          <w:marTop w:val="0"/>
          <w:marBottom w:val="0"/>
          <w:divBdr>
            <w:top w:val="none" w:sz="0" w:space="0" w:color="auto"/>
            <w:left w:val="none" w:sz="0" w:space="0" w:color="auto"/>
            <w:bottom w:val="none" w:sz="0" w:space="0" w:color="auto"/>
            <w:right w:val="none" w:sz="0" w:space="0" w:color="auto"/>
          </w:divBdr>
        </w:div>
        <w:div w:id="1095251722">
          <w:marLeft w:val="1166"/>
          <w:marRight w:val="0"/>
          <w:marTop w:val="0"/>
          <w:marBottom w:val="0"/>
          <w:divBdr>
            <w:top w:val="none" w:sz="0" w:space="0" w:color="auto"/>
            <w:left w:val="none" w:sz="0" w:space="0" w:color="auto"/>
            <w:bottom w:val="none" w:sz="0" w:space="0" w:color="auto"/>
            <w:right w:val="none" w:sz="0" w:space="0" w:color="auto"/>
          </w:divBdr>
        </w:div>
        <w:div w:id="1975983203">
          <w:marLeft w:val="1800"/>
          <w:marRight w:val="0"/>
          <w:marTop w:val="0"/>
          <w:marBottom w:val="0"/>
          <w:divBdr>
            <w:top w:val="none" w:sz="0" w:space="0" w:color="auto"/>
            <w:left w:val="none" w:sz="0" w:space="0" w:color="auto"/>
            <w:bottom w:val="none" w:sz="0" w:space="0" w:color="auto"/>
            <w:right w:val="none" w:sz="0" w:space="0" w:color="auto"/>
          </w:divBdr>
        </w:div>
        <w:div w:id="1739356070">
          <w:marLeft w:val="1800"/>
          <w:marRight w:val="0"/>
          <w:marTop w:val="0"/>
          <w:marBottom w:val="0"/>
          <w:divBdr>
            <w:top w:val="none" w:sz="0" w:space="0" w:color="auto"/>
            <w:left w:val="none" w:sz="0" w:space="0" w:color="auto"/>
            <w:bottom w:val="none" w:sz="0" w:space="0" w:color="auto"/>
            <w:right w:val="none" w:sz="0" w:space="0" w:color="auto"/>
          </w:divBdr>
        </w:div>
        <w:div w:id="1888685617">
          <w:marLeft w:val="1800"/>
          <w:marRight w:val="0"/>
          <w:marTop w:val="0"/>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79325716">
      <w:bodyDiv w:val="1"/>
      <w:marLeft w:val="0"/>
      <w:marRight w:val="0"/>
      <w:marTop w:val="0"/>
      <w:marBottom w:val="0"/>
      <w:divBdr>
        <w:top w:val="none" w:sz="0" w:space="0" w:color="auto"/>
        <w:left w:val="none" w:sz="0" w:space="0" w:color="auto"/>
        <w:bottom w:val="none" w:sz="0" w:space="0" w:color="auto"/>
        <w:right w:val="none" w:sz="0" w:space="0" w:color="auto"/>
      </w:divBdr>
      <w:divsChild>
        <w:div w:id="553856255">
          <w:marLeft w:val="547"/>
          <w:marRight w:val="0"/>
          <w:marTop w:val="96"/>
          <w:marBottom w:val="0"/>
          <w:divBdr>
            <w:top w:val="none" w:sz="0" w:space="0" w:color="auto"/>
            <w:left w:val="none" w:sz="0" w:space="0" w:color="auto"/>
            <w:bottom w:val="none" w:sz="0" w:space="0" w:color="auto"/>
            <w:right w:val="none" w:sz="0" w:space="0" w:color="auto"/>
          </w:divBdr>
        </w:div>
        <w:div w:id="1880779120">
          <w:marLeft w:val="1166"/>
          <w:marRight w:val="0"/>
          <w:marTop w:val="86"/>
          <w:marBottom w:val="0"/>
          <w:divBdr>
            <w:top w:val="none" w:sz="0" w:space="0" w:color="auto"/>
            <w:left w:val="none" w:sz="0" w:space="0" w:color="auto"/>
            <w:bottom w:val="none" w:sz="0" w:space="0" w:color="auto"/>
            <w:right w:val="none" w:sz="0" w:space="0" w:color="auto"/>
          </w:divBdr>
        </w:div>
        <w:div w:id="1217936710">
          <w:marLeft w:val="547"/>
          <w:marRight w:val="0"/>
          <w:marTop w:val="96"/>
          <w:marBottom w:val="0"/>
          <w:divBdr>
            <w:top w:val="none" w:sz="0" w:space="0" w:color="auto"/>
            <w:left w:val="none" w:sz="0" w:space="0" w:color="auto"/>
            <w:bottom w:val="none" w:sz="0" w:space="0" w:color="auto"/>
            <w:right w:val="none" w:sz="0" w:space="0" w:color="auto"/>
          </w:divBdr>
        </w:div>
        <w:div w:id="1122923075">
          <w:marLeft w:val="547"/>
          <w:marRight w:val="0"/>
          <w:marTop w:val="96"/>
          <w:marBottom w:val="0"/>
          <w:divBdr>
            <w:top w:val="none" w:sz="0" w:space="0" w:color="auto"/>
            <w:left w:val="none" w:sz="0" w:space="0" w:color="auto"/>
            <w:bottom w:val="none" w:sz="0" w:space="0" w:color="auto"/>
            <w:right w:val="none" w:sz="0" w:space="0" w:color="auto"/>
          </w:divBdr>
        </w:div>
        <w:div w:id="12928755">
          <w:marLeft w:val="1166"/>
          <w:marRight w:val="0"/>
          <w:marTop w:val="86"/>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3742772">
      <w:bodyDiv w:val="1"/>
      <w:marLeft w:val="0"/>
      <w:marRight w:val="0"/>
      <w:marTop w:val="0"/>
      <w:marBottom w:val="0"/>
      <w:divBdr>
        <w:top w:val="none" w:sz="0" w:space="0" w:color="auto"/>
        <w:left w:val="none" w:sz="0" w:space="0" w:color="auto"/>
        <w:bottom w:val="none" w:sz="0" w:space="0" w:color="auto"/>
        <w:right w:val="none" w:sz="0" w:space="0" w:color="auto"/>
      </w:divBdr>
      <w:divsChild>
        <w:div w:id="1501580379">
          <w:marLeft w:val="1166"/>
          <w:marRight w:val="0"/>
          <w:marTop w:val="67"/>
          <w:marBottom w:val="0"/>
          <w:divBdr>
            <w:top w:val="none" w:sz="0" w:space="0" w:color="auto"/>
            <w:left w:val="none" w:sz="0" w:space="0" w:color="auto"/>
            <w:bottom w:val="none" w:sz="0" w:space="0" w:color="auto"/>
            <w:right w:val="none" w:sz="0" w:space="0" w:color="auto"/>
          </w:divBdr>
        </w:div>
      </w:divsChild>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795252667">
      <w:bodyDiv w:val="1"/>
      <w:marLeft w:val="0"/>
      <w:marRight w:val="0"/>
      <w:marTop w:val="0"/>
      <w:marBottom w:val="0"/>
      <w:divBdr>
        <w:top w:val="none" w:sz="0" w:space="0" w:color="auto"/>
        <w:left w:val="none" w:sz="0" w:space="0" w:color="auto"/>
        <w:bottom w:val="none" w:sz="0" w:space="0" w:color="auto"/>
        <w:right w:val="none" w:sz="0" w:space="0" w:color="auto"/>
      </w:divBdr>
    </w:div>
    <w:div w:id="1805077586">
      <w:bodyDiv w:val="1"/>
      <w:marLeft w:val="0"/>
      <w:marRight w:val="0"/>
      <w:marTop w:val="0"/>
      <w:marBottom w:val="0"/>
      <w:divBdr>
        <w:top w:val="none" w:sz="0" w:space="0" w:color="auto"/>
        <w:left w:val="none" w:sz="0" w:space="0" w:color="auto"/>
        <w:bottom w:val="none" w:sz="0" w:space="0" w:color="auto"/>
        <w:right w:val="none" w:sz="0" w:space="0" w:color="auto"/>
      </w:divBdr>
      <w:divsChild>
        <w:div w:id="1196894596">
          <w:marLeft w:val="547"/>
          <w:marRight w:val="0"/>
          <w:marTop w:val="96"/>
          <w:marBottom w:val="0"/>
          <w:divBdr>
            <w:top w:val="none" w:sz="0" w:space="0" w:color="auto"/>
            <w:left w:val="none" w:sz="0" w:space="0" w:color="auto"/>
            <w:bottom w:val="none" w:sz="0" w:space="0" w:color="auto"/>
            <w:right w:val="none" w:sz="0" w:space="0" w:color="auto"/>
          </w:divBdr>
        </w:div>
        <w:div w:id="507863390">
          <w:marLeft w:val="547"/>
          <w:marRight w:val="0"/>
          <w:marTop w:val="96"/>
          <w:marBottom w:val="0"/>
          <w:divBdr>
            <w:top w:val="none" w:sz="0" w:space="0" w:color="auto"/>
            <w:left w:val="none" w:sz="0" w:space="0" w:color="auto"/>
            <w:bottom w:val="none" w:sz="0" w:space="0" w:color="auto"/>
            <w:right w:val="none" w:sz="0" w:space="0" w:color="auto"/>
          </w:divBdr>
        </w:div>
      </w:divsChild>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145755">
      <w:bodyDiv w:val="1"/>
      <w:marLeft w:val="0"/>
      <w:marRight w:val="0"/>
      <w:marTop w:val="0"/>
      <w:marBottom w:val="0"/>
      <w:divBdr>
        <w:top w:val="none" w:sz="0" w:space="0" w:color="auto"/>
        <w:left w:val="none" w:sz="0" w:space="0" w:color="auto"/>
        <w:bottom w:val="none" w:sz="0" w:space="0" w:color="auto"/>
        <w:right w:val="none" w:sz="0" w:space="0" w:color="auto"/>
      </w:divBdr>
      <w:divsChild>
        <w:div w:id="149368300">
          <w:marLeft w:val="547"/>
          <w:marRight w:val="0"/>
          <w:marTop w:val="86"/>
          <w:marBottom w:val="0"/>
          <w:divBdr>
            <w:top w:val="none" w:sz="0" w:space="0" w:color="auto"/>
            <w:left w:val="none" w:sz="0" w:space="0" w:color="auto"/>
            <w:bottom w:val="none" w:sz="0" w:space="0" w:color="auto"/>
            <w:right w:val="none" w:sz="0" w:space="0" w:color="auto"/>
          </w:divBdr>
        </w:div>
        <w:div w:id="1726643610">
          <w:marLeft w:val="1166"/>
          <w:marRight w:val="0"/>
          <w:marTop w:val="77"/>
          <w:marBottom w:val="0"/>
          <w:divBdr>
            <w:top w:val="none" w:sz="0" w:space="0" w:color="auto"/>
            <w:left w:val="none" w:sz="0" w:space="0" w:color="auto"/>
            <w:bottom w:val="none" w:sz="0" w:space="0" w:color="auto"/>
            <w:right w:val="none" w:sz="0" w:space="0" w:color="auto"/>
          </w:divBdr>
        </w:div>
        <w:div w:id="951133462">
          <w:marLeft w:val="1166"/>
          <w:marRight w:val="0"/>
          <w:marTop w:val="77"/>
          <w:marBottom w:val="0"/>
          <w:divBdr>
            <w:top w:val="none" w:sz="0" w:space="0" w:color="auto"/>
            <w:left w:val="none" w:sz="0" w:space="0" w:color="auto"/>
            <w:bottom w:val="none" w:sz="0" w:space="0" w:color="auto"/>
            <w:right w:val="none" w:sz="0" w:space="0" w:color="auto"/>
          </w:divBdr>
        </w:div>
        <w:div w:id="20980461">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76309733">
      <w:bodyDiv w:val="1"/>
      <w:marLeft w:val="0"/>
      <w:marRight w:val="0"/>
      <w:marTop w:val="0"/>
      <w:marBottom w:val="0"/>
      <w:divBdr>
        <w:top w:val="none" w:sz="0" w:space="0" w:color="auto"/>
        <w:left w:val="none" w:sz="0" w:space="0" w:color="auto"/>
        <w:bottom w:val="none" w:sz="0" w:space="0" w:color="auto"/>
        <w:right w:val="none" w:sz="0" w:space="0" w:color="auto"/>
      </w:divBdr>
      <w:divsChild>
        <w:div w:id="2069962170">
          <w:marLeft w:val="547"/>
          <w:marRight w:val="0"/>
          <w:marTop w:val="0"/>
          <w:marBottom w:val="0"/>
          <w:divBdr>
            <w:top w:val="none" w:sz="0" w:space="0" w:color="auto"/>
            <w:left w:val="none" w:sz="0" w:space="0" w:color="auto"/>
            <w:bottom w:val="none" w:sz="0" w:space="0" w:color="auto"/>
            <w:right w:val="none" w:sz="0" w:space="0" w:color="auto"/>
          </w:divBdr>
        </w:div>
      </w:divsChild>
    </w:div>
    <w:div w:id="1876625237">
      <w:bodyDiv w:val="1"/>
      <w:marLeft w:val="0"/>
      <w:marRight w:val="0"/>
      <w:marTop w:val="0"/>
      <w:marBottom w:val="0"/>
      <w:divBdr>
        <w:top w:val="none" w:sz="0" w:space="0" w:color="auto"/>
        <w:left w:val="none" w:sz="0" w:space="0" w:color="auto"/>
        <w:bottom w:val="none" w:sz="0" w:space="0" w:color="auto"/>
        <w:right w:val="none" w:sz="0" w:space="0" w:color="auto"/>
      </w:divBdr>
      <w:divsChild>
        <w:div w:id="723678911">
          <w:marLeft w:val="547"/>
          <w:marRight w:val="0"/>
          <w:marTop w:val="0"/>
          <w:marBottom w:val="0"/>
          <w:divBdr>
            <w:top w:val="none" w:sz="0" w:space="0" w:color="auto"/>
            <w:left w:val="none" w:sz="0" w:space="0" w:color="auto"/>
            <w:bottom w:val="none" w:sz="0" w:space="0" w:color="auto"/>
            <w:right w:val="none" w:sz="0" w:space="0" w:color="auto"/>
          </w:divBdr>
        </w:div>
        <w:div w:id="282930722">
          <w:marLeft w:val="1166"/>
          <w:marRight w:val="0"/>
          <w:marTop w:val="0"/>
          <w:marBottom w:val="0"/>
          <w:divBdr>
            <w:top w:val="none" w:sz="0" w:space="0" w:color="auto"/>
            <w:left w:val="none" w:sz="0" w:space="0" w:color="auto"/>
            <w:bottom w:val="none" w:sz="0" w:space="0" w:color="auto"/>
            <w:right w:val="none" w:sz="0" w:space="0" w:color="auto"/>
          </w:divBdr>
        </w:div>
        <w:div w:id="1221745735">
          <w:marLeft w:val="1800"/>
          <w:marRight w:val="0"/>
          <w:marTop w:val="0"/>
          <w:marBottom w:val="0"/>
          <w:divBdr>
            <w:top w:val="none" w:sz="0" w:space="0" w:color="auto"/>
            <w:left w:val="none" w:sz="0" w:space="0" w:color="auto"/>
            <w:bottom w:val="none" w:sz="0" w:space="0" w:color="auto"/>
            <w:right w:val="none" w:sz="0" w:space="0" w:color="auto"/>
          </w:divBdr>
        </w:div>
        <w:div w:id="449711482">
          <w:marLeft w:val="1800"/>
          <w:marRight w:val="0"/>
          <w:marTop w:val="0"/>
          <w:marBottom w:val="0"/>
          <w:divBdr>
            <w:top w:val="none" w:sz="0" w:space="0" w:color="auto"/>
            <w:left w:val="none" w:sz="0" w:space="0" w:color="auto"/>
            <w:bottom w:val="none" w:sz="0" w:space="0" w:color="auto"/>
            <w:right w:val="none" w:sz="0" w:space="0" w:color="auto"/>
          </w:divBdr>
        </w:div>
        <w:div w:id="1242060619">
          <w:marLeft w:val="1800"/>
          <w:marRight w:val="0"/>
          <w:marTop w:val="0"/>
          <w:marBottom w:val="0"/>
          <w:divBdr>
            <w:top w:val="none" w:sz="0" w:space="0" w:color="auto"/>
            <w:left w:val="none" w:sz="0" w:space="0" w:color="auto"/>
            <w:bottom w:val="none" w:sz="0" w:space="0" w:color="auto"/>
            <w:right w:val="none" w:sz="0" w:space="0" w:color="auto"/>
          </w:divBdr>
        </w:div>
      </w:divsChild>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7B98BD4-1501-442D-B0AF-36D13ED59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5</Pages>
  <Words>2498</Words>
  <Characters>14245</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13</cp:revision>
  <cp:lastPrinted>2010-04-02T09:58:00Z</cp:lastPrinted>
  <dcterms:created xsi:type="dcterms:W3CDTF">2023-08-09T07:58:00Z</dcterms:created>
  <dcterms:modified xsi:type="dcterms:W3CDTF">2023-08-10T02:31:00Z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